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427C" w:rsidRDefault="00000000">
      <w:pPr>
        <w:pStyle w:val="Heading1"/>
        <w:rPr>
          <w:sz w:val="32"/>
          <w:szCs w:val="32"/>
        </w:rPr>
      </w:pPr>
      <w:bookmarkStart w:id="0" w:name="_Toc357771638"/>
      <w:bookmarkStart w:id="1" w:name="_Toc346793416"/>
      <w:bookmarkStart w:id="2" w:name="_Toc328122777"/>
      <w:r>
        <w:rPr>
          <w:sz w:val="32"/>
          <w:szCs w:val="32"/>
        </w:rPr>
        <w:t xml:space="preserve">Pupil premium strategy statement </w:t>
      </w:r>
      <w:r>
        <w:rPr>
          <w:sz w:val="32"/>
          <w:szCs w:val="32"/>
        </w:rPr>
        <w:tab/>
        <w:t>2020-2021</w:t>
      </w:r>
    </w:p>
    <w:p w:rsidR="00F3427C" w:rsidRDefault="00000000">
      <w:pPr>
        <w:pStyle w:val="Heading2"/>
        <w:rPr>
          <w:sz w:val="24"/>
          <w:szCs w:val="24"/>
        </w:rPr>
      </w:pPr>
      <w:bookmarkStart w:id="3" w:name="_Toc385406061"/>
      <w:bookmarkEnd w:id="0"/>
      <w:bookmarkEnd w:id="1"/>
      <w:bookmarkEnd w:id="2"/>
      <w:r>
        <w:rPr>
          <w:sz w:val="24"/>
          <w:szCs w:val="24"/>
        </w:rPr>
        <w:t>School overview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4678"/>
      </w:tblGrid>
      <w:tr w:rsidR="00F3427C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Metric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</w:t>
            </w:r>
          </w:p>
        </w:tc>
      </w:tr>
      <w:tr w:rsidR="00F3427C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School name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  <w:ind w:left="0"/>
            </w:pPr>
            <w:r>
              <w:rPr>
                <w:rStyle w:val="PlaceholderText"/>
                <w:color w:val="0D0D0D"/>
              </w:rPr>
              <w:t>Wyvern College</w:t>
            </w:r>
          </w:p>
        </w:tc>
      </w:tr>
      <w:tr w:rsidR="00F3427C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Pupils in school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</w:pPr>
            <w:r>
              <w:rPr>
                <w:rStyle w:val="PlaceholderText"/>
                <w:color w:val="0D0D0D"/>
              </w:rPr>
              <w:t>1344</w:t>
            </w:r>
          </w:p>
        </w:tc>
      </w:tr>
      <w:tr w:rsidR="00F3427C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Proportion of disadvantaged pupils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</w:pPr>
            <w:r>
              <w:rPr>
                <w:rStyle w:val="PlaceholderText"/>
                <w:color w:val="0D0D0D"/>
              </w:rPr>
              <w:t xml:space="preserve">158 students </w:t>
            </w:r>
          </w:p>
        </w:tc>
      </w:tr>
      <w:tr w:rsidR="00F3427C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 premium allocation this academic year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</w:pPr>
            <w:r>
              <w:rPr>
                <w:rStyle w:val="PlaceholderText"/>
                <w:color w:val="000000"/>
              </w:rPr>
              <w:t>£167,125</w:t>
            </w:r>
          </w:p>
        </w:tc>
      </w:tr>
      <w:tr w:rsidR="00F3427C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Academic year or years covered by statement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</w:pPr>
            <w:r>
              <w:rPr>
                <w:rStyle w:val="PlaceholderText"/>
                <w:color w:val="0D0D0D"/>
              </w:rPr>
              <w:t>2020-2021, 2021-2022</w:t>
            </w:r>
          </w:p>
        </w:tc>
      </w:tr>
      <w:tr w:rsidR="00F3427C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Publish date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  <w:ind w:left="0"/>
            </w:pPr>
            <w:r>
              <w:rPr>
                <w:rStyle w:val="PlaceholderText"/>
                <w:color w:val="0D0D0D"/>
              </w:rPr>
              <w:t>October 2020</w:t>
            </w:r>
          </w:p>
        </w:tc>
      </w:tr>
      <w:tr w:rsidR="00F3427C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date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  <w:ind w:left="0"/>
            </w:pPr>
            <w:r>
              <w:rPr>
                <w:rStyle w:val="PlaceholderText"/>
                <w:color w:val="0D0D0D"/>
              </w:rPr>
              <w:t>October 2021</w:t>
            </w:r>
          </w:p>
        </w:tc>
      </w:tr>
      <w:tr w:rsidR="00F3427C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Statement authorised by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</w:pPr>
            <w:r>
              <w:rPr>
                <w:rStyle w:val="PlaceholderText"/>
                <w:color w:val="0D0D0D"/>
              </w:rPr>
              <w:t>Mr Ben Rule – Headteacher</w:t>
            </w:r>
          </w:p>
        </w:tc>
      </w:tr>
      <w:tr w:rsidR="00F3427C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Pupil premium lead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</w:pPr>
            <w:r>
              <w:rPr>
                <w:rStyle w:val="PlaceholderText"/>
                <w:color w:val="0D0D0D"/>
              </w:rPr>
              <w:t>Mr Simon Stocks – Deputy Headteacher</w:t>
            </w:r>
          </w:p>
        </w:tc>
      </w:tr>
      <w:tr w:rsidR="00F3427C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Governor </w:t>
            </w:r>
            <w:proofErr w:type="gramStart"/>
            <w:r>
              <w:rPr>
                <w:sz w:val="22"/>
                <w:szCs w:val="22"/>
              </w:rPr>
              <w:t>lead</w:t>
            </w:r>
            <w:proofErr w:type="gramEnd"/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</w:pPr>
            <w:r>
              <w:rPr>
                <w:rStyle w:val="PlaceholderText"/>
                <w:color w:val="0D0D0D"/>
              </w:rPr>
              <w:t>Mrs Lynda Smith – Chair of trustees</w:t>
            </w:r>
          </w:p>
        </w:tc>
      </w:tr>
    </w:tbl>
    <w:p w:rsidR="00F3427C" w:rsidRDefault="00000000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Disadvantaged pupil performance overview for last academic year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4678"/>
      </w:tblGrid>
      <w:tr w:rsidR="00F3427C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</w:pPr>
            <w:r>
              <w:rPr>
                <w:rFonts w:cs="Calibri"/>
                <w:sz w:val="22"/>
                <w:szCs w:val="22"/>
              </w:rPr>
              <w:t>Progress 8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</w:pPr>
            <w:r>
              <w:rPr>
                <w:rStyle w:val="PlaceholderText"/>
                <w:color w:val="0D0D0D"/>
              </w:rPr>
              <w:t>N/A (-0.44 in 2019, -0.67 in 2018, -0.83 in 2017)</w:t>
            </w:r>
          </w:p>
        </w:tc>
      </w:tr>
      <w:tr w:rsidR="00F3427C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Ebacc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entry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</w:pPr>
            <w:r>
              <w:rPr>
                <w:rStyle w:val="PlaceholderText"/>
                <w:color w:val="0D0D0D"/>
              </w:rPr>
              <w:t>19% for 2020</w:t>
            </w:r>
          </w:p>
        </w:tc>
      </w:tr>
      <w:tr w:rsidR="00F3427C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Attainment 8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</w:pPr>
            <w:r>
              <w:rPr>
                <w:rStyle w:val="PlaceholderText"/>
                <w:color w:val="0D0D0D"/>
              </w:rPr>
              <w:t>39.9 for 2020 (36.5 in 2019, 32.8 in 2018, 31.8 in 2017)</w:t>
            </w:r>
          </w:p>
        </w:tc>
      </w:tr>
      <w:tr w:rsidR="00F3427C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Percentage of Grade 5+ in English and maths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</w:pPr>
            <w:r>
              <w:rPr>
                <w:rStyle w:val="PlaceholderText"/>
                <w:color w:val="0D0D0D"/>
              </w:rPr>
              <w:t>30.6% for 2020 (19% in 2019, 17.5% in 2018)</w:t>
            </w:r>
          </w:p>
        </w:tc>
      </w:tr>
    </w:tbl>
    <w:p w:rsidR="00F3427C" w:rsidRDefault="00000000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Strategy aims for disadvantaged pupils</w:t>
      </w:r>
    </w:p>
    <w:tbl>
      <w:tblPr>
        <w:tblW w:w="94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2953"/>
        <w:gridCol w:w="2994"/>
      </w:tblGrid>
      <w:tr w:rsidR="00F3427C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Aim</w:t>
            </w:r>
          </w:p>
        </w:tc>
        <w:tc>
          <w:tcPr>
            <w:tcW w:w="2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Target</w:t>
            </w:r>
          </w:p>
        </w:tc>
        <w:tc>
          <w:tcPr>
            <w:tcW w:w="29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Target date</w:t>
            </w:r>
          </w:p>
        </w:tc>
      </w:tr>
      <w:tr w:rsidR="00F3427C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</w:pPr>
            <w:r>
              <w:rPr>
                <w:rFonts w:cs="Calibri"/>
                <w:sz w:val="22"/>
                <w:szCs w:val="22"/>
              </w:rPr>
              <w:t>Progress 8</w:t>
            </w:r>
          </w:p>
        </w:tc>
        <w:tc>
          <w:tcPr>
            <w:tcW w:w="2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</w:pPr>
            <w:r>
              <w:rPr>
                <w:rStyle w:val="PlaceholderText"/>
                <w:color w:val="0D0D0D"/>
              </w:rPr>
              <w:t>Reduce the gap for PP students V whole college average to less than 0.5</w:t>
            </w:r>
          </w:p>
          <w:p w:rsidR="00F3427C" w:rsidRDefault="00000000">
            <w:pPr>
              <w:pStyle w:val="TableRow"/>
            </w:pPr>
            <w:r>
              <w:rPr>
                <w:rStyle w:val="PlaceholderText"/>
                <w:color w:val="0D0D0D"/>
              </w:rPr>
              <w:t>Target -0.25 for PP</w:t>
            </w:r>
          </w:p>
        </w:tc>
        <w:tc>
          <w:tcPr>
            <w:tcW w:w="29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</w:pPr>
            <w:r>
              <w:rPr>
                <w:rStyle w:val="PlaceholderText"/>
                <w:color w:val="0D0D0D"/>
              </w:rPr>
              <w:t>September 2021</w:t>
            </w:r>
          </w:p>
        </w:tc>
      </w:tr>
      <w:tr w:rsidR="00F3427C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Attainment 8</w:t>
            </w:r>
          </w:p>
        </w:tc>
        <w:tc>
          <w:tcPr>
            <w:tcW w:w="2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</w:pPr>
            <w:r>
              <w:rPr>
                <w:rStyle w:val="PlaceholderText"/>
                <w:color w:val="0D0D0D"/>
              </w:rPr>
              <w:t>Achieve national average attainment (47.5 in 2019) for our PP students</w:t>
            </w:r>
          </w:p>
          <w:p w:rsidR="00F3427C" w:rsidRDefault="00000000">
            <w:pPr>
              <w:pStyle w:val="TableRow"/>
            </w:pPr>
            <w:r>
              <w:rPr>
                <w:rStyle w:val="PlaceholderText"/>
                <w:color w:val="0D0D0D"/>
              </w:rPr>
              <w:t>Target 40+ in current academic year.</w:t>
            </w:r>
          </w:p>
        </w:tc>
        <w:tc>
          <w:tcPr>
            <w:tcW w:w="29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</w:pPr>
            <w:r>
              <w:rPr>
                <w:rStyle w:val="PlaceholderText"/>
                <w:color w:val="0D0D0D"/>
              </w:rPr>
              <w:t>September 2022</w:t>
            </w:r>
          </w:p>
          <w:p w:rsidR="00F3427C" w:rsidRDefault="00F3427C">
            <w:pPr>
              <w:pStyle w:val="TableRow"/>
            </w:pPr>
          </w:p>
          <w:p w:rsidR="00F3427C" w:rsidRDefault="00F3427C">
            <w:pPr>
              <w:pStyle w:val="TableRow"/>
            </w:pPr>
          </w:p>
          <w:p w:rsidR="00F3427C" w:rsidRDefault="00000000">
            <w:pPr>
              <w:pStyle w:val="TableRow"/>
            </w:pPr>
            <w:r>
              <w:rPr>
                <w:rStyle w:val="PlaceholderText"/>
                <w:color w:val="0D0D0D"/>
              </w:rPr>
              <w:t>(September 2021)</w:t>
            </w:r>
          </w:p>
        </w:tc>
      </w:tr>
      <w:tr w:rsidR="00F3427C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</w:pPr>
            <w:r>
              <w:rPr>
                <w:rFonts w:cs="Calibri"/>
                <w:sz w:val="22"/>
                <w:szCs w:val="22"/>
              </w:rPr>
              <w:t>Percentage of Grade 5+ in English and maths</w:t>
            </w:r>
          </w:p>
          <w:p w:rsidR="00F3427C" w:rsidRDefault="00F3427C">
            <w:pPr>
              <w:pStyle w:val="TableRow"/>
            </w:pPr>
          </w:p>
        </w:tc>
        <w:tc>
          <w:tcPr>
            <w:tcW w:w="2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</w:pPr>
            <w:r>
              <w:rPr>
                <w:rStyle w:val="PlaceholderText"/>
                <w:color w:val="0D0D0D"/>
              </w:rPr>
              <w:t>Achieve national average E/M 5+ (43% in 2019) for our PP students</w:t>
            </w:r>
          </w:p>
          <w:p w:rsidR="00F3427C" w:rsidRDefault="00000000">
            <w:pPr>
              <w:pStyle w:val="TableRow"/>
            </w:pPr>
            <w:r>
              <w:rPr>
                <w:rStyle w:val="PlaceholderText"/>
                <w:color w:val="0D0D0D"/>
              </w:rPr>
              <w:t>Target 35% in current academic year</w:t>
            </w:r>
          </w:p>
          <w:p w:rsidR="00F3427C" w:rsidRDefault="00F3427C">
            <w:pPr>
              <w:pStyle w:val="TableRow"/>
            </w:pPr>
          </w:p>
        </w:tc>
        <w:tc>
          <w:tcPr>
            <w:tcW w:w="29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</w:pPr>
            <w:r>
              <w:rPr>
                <w:rStyle w:val="PlaceholderText"/>
                <w:color w:val="0D0D0D"/>
              </w:rPr>
              <w:lastRenderedPageBreak/>
              <w:t>September 2022</w:t>
            </w:r>
          </w:p>
          <w:p w:rsidR="00F3427C" w:rsidRDefault="00F3427C">
            <w:pPr>
              <w:pStyle w:val="TableRow"/>
            </w:pPr>
          </w:p>
          <w:p w:rsidR="00F3427C" w:rsidRDefault="00F3427C">
            <w:pPr>
              <w:pStyle w:val="TableRow"/>
            </w:pPr>
          </w:p>
          <w:p w:rsidR="00F3427C" w:rsidRDefault="00000000">
            <w:pPr>
              <w:pStyle w:val="TableRow"/>
            </w:pPr>
            <w:r>
              <w:rPr>
                <w:rStyle w:val="PlaceholderText"/>
                <w:color w:val="0D0D0D"/>
              </w:rPr>
              <w:t>(September 2021)</w:t>
            </w:r>
          </w:p>
        </w:tc>
      </w:tr>
      <w:tr w:rsidR="00F3427C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Attendance</w:t>
            </w:r>
          </w:p>
        </w:tc>
        <w:tc>
          <w:tcPr>
            <w:tcW w:w="2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</w:pPr>
            <w:r>
              <w:rPr>
                <w:rStyle w:val="PlaceholderText"/>
                <w:color w:val="0D0D0D"/>
              </w:rPr>
              <w:t>Improve whole college PP attendance rates to 92% (90% in 2019 – 2020, 89% in 2018-2019)</w:t>
            </w:r>
          </w:p>
        </w:tc>
        <w:tc>
          <w:tcPr>
            <w:tcW w:w="29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</w:pPr>
            <w:r>
              <w:rPr>
                <w:rStyle w:val="PlaceholderText"/>
                <w:color w:val="0D0D0D"/>
              </w:rPr>
              <w:t>September 2021</w:t>
            </w:r>
          </w:p>
        </w:tc>
      </w:tr>
      <w:tr w:rsidR="00F3427C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Reduce </w:t>
            </w:r>
            <w:proofErr w:type="gramStart"/>
            <w:r>
              <w:rPr>
                <w:sz w:val="22"/>
                <w:szCs w:val="22"/>
              </w:rPr>
              <w:t>FTE's</w:t>
            </w:r>
            <w:proofErr w:type="gramEnd"/>
            <w:r>
              <w:rPr>
                <w:sz w:val="22"/>
                <w:szCs w:val="22"/>
              </w:rPr>
              <w:t xml:space="preserve"> for PP students</w:t>
            </w:r>
          </w:p>
        </w:tc>
        <w:tc>
          <w:tcPr>
            <w:tcW w:w="29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</w:pPr>
            <w:r>
              <w:t>Reduce PP FTEs from 39 (107 days lost in 2018) by 50%</w:t>
            </w:r>
          </w:p>
          <w:p w:rsidR="00F3427C" w:rsidRDefault="00000000">
            <w:pPr>
              <w:pStyle w:val="TableRow"/>
              <w:rPr>
                <w:b/>
              </w:rPr>
            </w:pPr>
            <w:r>
              <w:rPr>
                <w:b/>
              </w:rPr>
              <w:t>2019-2020 was strong up to March 2020 with only 10 FTEs and 16.5 days lost. However, difficult to compare as not a full year.</w:t>
            </w:r>
          </w:p>
        </w:tc>
        <w:tc>
          <w:tcPr>
            <w:tcW w:w="29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</w:pPr>
            <w:r>
              <w:t>September 2021</w:t>
            </w:r>
          </w:p>
        </w:tc>
      </w:tr>
      <w:tr w:rsidR="00F3427C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3539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Ebacc</w:t>
            </w:r>
            <w:proofErr w:type="spellEnd"/>
            <w:r>
              <w:rPr>
                <w:sz w:val="22"/>
                <w:szCs w:val="22"/>
              </w:rPr>
              <w:t xml:space="preserve"> entry</w:t>
            </w:r>
          </w:p>
        </w:tc>
        <w:tc>
          <w:tcPr>
            <w:tcW w:w="2953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</w:pPr>
            <w:r>
              <w:rPr>
                <w:rStyle w:val="PlaceholderText"/>
                <w:color w:val="0D0D0D"/>
              </w:rPr>
              <w:t>Better the National Average for E-</w:t>
            </w:r>
            <w:proofErr w:type="spellStart"/>
            <w:r>
              <w:rPr>
                <w:rStyle w:val="PlaceholderText"/>
                <w:color w:val="0D0D0D"/>
              </w:rPr>
              <w:t>Bacc</w:t>
            </w:r>
            <w:proofErr w:type="spellEnd"/>
            <w:r>
              <w:rPr>
                <w:rStyle w:val="PlaceholderText"/>
                <w:color w:val="0D0D0D"/>
              </w:rPr>
              <w:t xml:space="preserve"> entry (40% in 2019) and aspire to 50%</w:t>
            </w:r>
          </w:p>
        </w:tc>
        <w:tc>
          <w:tcPr>
            <w:tcW w:w="2994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</w:pPr>
            <w:r>
              <w:rPr>
                <w:rStyle w:val="PlaceholderText"/>
                <w:color w:val="0D0D0D"/>
              </w:rPr>
              <w:t>September 2023</w:t>
            </w:r>
          </w:p>
          <w:p w:rsidR="00F3427C" w:rsidRDefault="00F3427C">
            <w:pPr>
              <w:pStyle w:val="TableRow"/>
            </w:pPr>
          </w:p>
        </w:tc>
      </w:tr>
    </w:tbl>
    <w:bookmarkEnd w:id="3"/>
    <w:p w:rsidR="00F3427C" w:rsidRDefault="00000000">
      <w:pPr>
        <w:pStyle w:val="Heading1"/>
        <w:rPr>
          <w:sz w:val="24"/>
        </w:rPr>
      </w:pPr>
      <w:r>
        <w:rPr>
          <w:sz w:val="24"/>
        </w:rPr>
        <w:lastRenderedPageBreak/>
        <w:t>Teaching priorities for current academic year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5954"/>
      </w:tblGrid>
      <w:tr w:rsidR="00F3427C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</w:pPr>
            <w:r>
              <w:rPr>
                <w:b/>
                <w:sz w:val="22"/>
                <w:szCs w:val="22"/>
              </w:rPr>
              <w:t>Measure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Activity</w:t>
            </w:r>
          </w:p>
        </w:tc>
      </w:tr>
      <w:tr w:rsidR="00F3427C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</w:pPr>
            <w:r>
              <w:rPr>
                <w:rFonts w:cs="Calibri"/>
                <w:sz w:val="22"/>
                <w:szCs w:val="22"/>
              </w:rPr>
              <w:t>Priority 1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  <w:ind w:left="0"/>
            </w:pPr>
            <w:r>
              <w:rPr>
                <w:rStyle w:val="PlaceholderText"/>
                <w:color w:val="0D0D0D"/>
              </w:rPr>
              <w:t>Embed class plans across the college with a focus on disadvantaged learners in Y10 and Y11 in the first instance.</w:t>
            </w:r>
          </w:p>
          <w:p w:rsidR="00F3427C" w:rsidRDefault="00000000">
            <w:pPr>
              <w:pStyle w:val="TableRow"/>
              <w:ind w:left="0"/>
            </w:pPr>
            <w:r>
              <w:rPr>
                <w:rStyle w:val="PlaceholderText"/>
                <w:color w:val="0D0D0D"/>
              </w:rPr>
              <w:t>Deliver adequate training to ensure plans are high quality and consistent across all subject areas and all year groups.</w:t>
            </w:r>
          </w:p>
          <w:p w:rsidR="00F3427C" w:rsidRDefault="00000000">
            <w:pPr>
              <w:pStyle w:val="TableRow"/>
              <w:ind w:left="0"/>
            </w:pPr>
            <w:r>
              <w:rPr>
                <w:rStyle w:val="PlaceholderText"/>
                <w:color w:val="0D0D0D"/>
              </w:rPr>
              <w:t>Build in INSET time to allow staff to review plans over the course of the year.</w:t>
            </w:r>
          </w:p>
          <w:p w:rsidR="00F3427C" w:rsidRDefault="00000000">
            <w:pPr>
              <w:pStyle w:val="TableRow"/>
              <w:ind w:left="0"/>
            </w:pPr>
            <w:r>
              <w:rPr>
                <w:rStyle w:val="PlaceholderText"/>
                <w:color w:val="0D0D0D"/>
              </w:rPr>
              <w:t>Undertake monitoring through line management meetings and progress meetings.</w:t>
            </w:r>
          </w:p>
          <w:p w:rsidR="00F3427C" w:rsidRDefault="00000000">
            <w:pPr>
              <w:pStyle w:val="TableRow"/>
              <w:ind w:left="0"/>
            </w:pPr>
            <w:r>
              <w:rPr>
                <w:rStyle w:val="PlaceholderText"/>
                <w:color w:val="0D0D0D"/>
              </w:rPr>
              <w:t>Monitor through lesson observation and quality assurance programme.</w:t>
            </w:r>
          </w:p>
          <w:p w:rsidR="00F3427C" w:rsidRDefault="00000000">
            <w:pPr>
              <w:pStyle w:val="TableRow"/>
              <w:ind w:left="0"/>
            </w:pPr>
            <w:r>
              <w:t>Aim to introduce an IT solution / platform to enable colleagues to share strategies being deployed for individuals.</w:t>
            </w:r>
          </w:p>
        </w:tc>
      </w:tr>
      <w:tr w:rsidR="00F3427C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Priority 2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</w:pPr>
            <w:r>
              <w:rPr>
                <w:rStyle w:val="PlaceholderText"/>
                <w:color w:val="0D0D0D"/>
              </w:rPr>
              <w:t>Improve the behaviour of disadvantaged students through the College's 4-point plan for disruption free learning. As a result, reduce FTEs and improve the learning experience.</w:t>
            </w:r>
          </w:p>
          <w:p w:rsidR="00F3427C" w:rsidRDefault="00000000">
            <w:pPr>
              <w:pStyle w:val="TableRow"/>
            </w:pPr>
            <w:r>
              <w:rPr>
                <w:rStyle w:val="PlaceholderText"/>
                <w:color w:val="0D0D0D"/>
              </w:rPr>
              <w:t>On-call system to remove students who are disrupting the learning of others to be continued and monitored on a weekly basis.</w:t>
            </w:r>
          </w:p>
          <w:p w:rsidR="00F3427C" w:rsidRDefault="00000000">
            <w:pPr>
              <w:pStyle w:val="TableRow"/>
            </w:pPr>
            <w:r>
              <w:rPr>
                <w:rStyle w:val="PlaceholderText"/>
                <w:color w:val="0D0D0D"/>
              </w:rPr>
              <w:t>Utilise an intense inclusion meeting programme for those most at risk of FTE holding meetings with teachers every 3 weeks.</w:t>
            </w:r>
          </w:p>
          <w:p w:rsidR="00F3427C" w:rsidRDefault="00000000">
            <w:pPr>
              <w:pStyle w:val="TableRow"/>
            </w:pPr>
            <w:r>
              <w:t xml:space="preserve">Utilise an Internal Exclusion Room and Restorative Behaviour Programme for students whose behaviour does not meet the </w:t>
            </w:r>
            <w:proofErr w:type="spellStart"/>
            <w:r>
              <w:t>PRIDe</w:t>
            </w:r>
            <w:proofErr w:type="spellEnd"/>
            <w:r>
              <w:t xml:space="preserve"> expectations to avoid FTE.</w:t>
            </w:r>
          </w:p>
          <w:p w:rsidR="00F3427C" w:rsidRDefault="00000000">
            <w:pPr>
              <w:pStyle w:val="TableRow"/>
            </w:pPr>
            <w:r>
              <w:t xml:space="preserve">Refer students at risk of multiple FTE or </w:t>
            </w:r>
            <w:proofErr w:type="spellStart"/>
            <w:r>
              <w:t>PEx</w:t>
            </w:r>
            <w:proofErr w:type="spellEnd"/>
            <w:r>
              <w:t xml:space="preserve"> to more bespoke alternative provision.</w:t>
            </w:r>
          </w:p>
        </w:tc>
      </w:tr>
      <w:tr w:rsidR="00F3427C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Barriers to learning these priorities address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</w:pPr>
            <w:r>
              <w:rPr>
                <w:rStyle w:val="PlaceholderText"/>
                <w:color w:val="0D0D0D"/>
              </w:rPr>
              <w:t>High proportion of FTEs for disadvantaged students</w:t>
            </w:r>
          </w:p>
          <w:p w:rsidR="00F3427C" w:rsidRDefault="00000000">
            <w:pPr>
              <w:pStyle w:val="TableRow"/>
            </w:pPr>
            <w:r>
              <w:rPr>
                <w:rStyle w:val="PlaceholderText"/>
                <w:color w:val="0D0D0D"/>
              </w:rPr>
              <w:t>Disruption in the classroom affecting the progress and outcomes of disadvantaged students.</w:t>
            </w:r>
          </w:p>
        </w:tc>
      </w:tr>
    </w:tbl>
    <w:p w:rsidR="00F3427C" w:rsidRDefault="00F3427C">
      <w:pPr>
        <w:pStyle w:val="Heading2"/>
        <w:rPr>
          <w:sz w:val="24"/>
          <w:szCs w:val="24"/>
        </w:rPr>
      </w:pPr>
    </w:p>
    <w:p w:rsidR="00F3427C" w:rsidRDefault="00F3427C"/>
    <w:p w:rsidR="00F3427C" w:rsidRDefault="00F3427C"/>
    <w:p w:rsidR="00F3427C" w:rsidRDefault="00F3427C"/>
    <w:p w:rsidR="00F3427C" w:rsidRDefault="00F3427C"/>
    <w:p w:rsidR="00F3427C" w:rsidRDefault="00F3427C"/>
    <w:p w:rsidR="00F3427C" w:rsidRDefault="00F3427C"/>
    <w:p w:rsidR="00F3427C" w:rsidRDefault="00000000">
      <w:pPr>
        <w:pStyle w:val="Heading2"/>
        <w:rPr>
          <w:sz w:val="24"/>
          <w:szCs w:val="24"/>
        </w:rPr>
      </w:pPr>
      <w:r>
        <w:rPr>
          <w:sz w:val="24"/>
          <w:szCs w:val="24"/>
        </w:rPr>
        <w:lastRenderedPageBreak/>
        <w:t>Targeted academic support for current academic year</w:t>
      </w:r>
    </w:p>
    <w:p w:rsidR="00F3427C" w:rsidRDefault="00F3427C"/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5954"/>
      </w:tblGrid>
      <w:tr w:rsidR="00F3427C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</w:pPr>
            <w:r>
              <w:rPr>
                <w:b/>
                <w:sz w:val="22"/>
                <w:szCs w:val="22"/>
              </w:rPr>
              <w:t>Measure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</w:pPr>
            <w:r>
              <w:rPr>
                <w:b/>
                <w:sz w:val="22"/>
                <w:szCs w:val="22"/>
              </w:rPr>
              <w:t>Activity</w:t>
            </w:r>
          </w:p>
        </w:tc>
      </w:tr>
      <w:tr w:rsidR="00F3427C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Priority 1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</w:pPr>
            <w:r>
              <w:t>Introduce a Core Premium option into the options for 2020-2021 targeting those who require additional core subject intervention.</w:t>
            </w:r>
          </w:p>
        </w:tc>
      </w:tr>
      <w:tr w:rsidR="00F3427C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Priority 2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</w:pPr>
            <w:r>
              <w:rPr>
                <w:rStyle w:val="PlaceholderText"/>
                <w:color w:val="auto"/>
              </w:rPr>
              <w:t>Monitor Y11 PP students to oversee progress, attendance and projected outcomes supporting individuals with 1-1 support specifically around revision. Liaison with parents/carers as appropriate.</w:t>
            </w:r>
          </w:p>
          <w:p w:rsidR="00F3427C" w:rsidRDefault="00000000">
            <w:pPr>
              <w:pStyle w:val="TableRow"/>
            </w:pPr>
            <w:r>
              <w:rPr>
                <w:rStyle w:val="PlaceholderText"/>
                <w:color w:val="auto"/>
              </w:rPr>
              <w:t>All identified students in Y11 to receive revision guide pack and free entry to Saturday School Revision Sessions.</w:t>
            </w:r>
          </w:p>
        </w:tc>
      </w:tr>
      <w:tr w:rsidR="00F3427C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3539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Priority 3</w:t>
            </w:r>
          </w:p>
        </w:tc>
        <w:tc>
          <w:tcPr>
            <w:tcW w:w="5954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</w:pPr>
            <w:r>
              <w:t>Family Support Worker, Pastoral Assistant, Careers Officer, Well-Being Assistant and Attendance officer supporting individual students with a strong bias towards disadvantaged students.</w:t>
            </w:r>
          </w:p>
        </w:tc>
      </w:tr>
      <w:tr w:rsidR="00F3427C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35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Barriers to learning these priorities address</w:t>
            </w:r>
          </w:p>
        </w:tc>
        <w:tc>
          <w:tcPr>
            <w:tcW w:w="5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</w:pPr>
            <w:r>
              <w:rPr>
                <w:rStyle w:val="PlaceholderText"/>
                <w:color w:val="0D0D0D"/>
              </w:rPr>
              <w:t>Progress 8 score below the national average and outcomes not as strong as peers.</w:t>
            </w:r>
          </w:p>
          <w:p w:rsidR="00F3427C" w:rsidRDefault="00000000">
            <w:pPr>
              <w:pStyle w:val="TableRow"/>
            </w:pPr>
            <w:r>
              <w:rPr>
                <w:rStyle w:val="PlaceholderText"/>
                <w:color w:val="0D0D0D"/>
              </w:rPr>
              <w:t>Ensuring that enhanced pastoral support is provided to maintain strong attendance.</w:t>
            </w:r>
          </w:p>
        </w:tc>
      </w:tr>
    </w:tbl>
    <w:p w:rsidR="00F3427C" w:rsidRDefault="00F3427C">
      <w:pPr>
        <w:pStyle w:val="Heading2"/>
        <w:rPr>
          <w:sz w:val="24"/>
          <w:szCs w:val="24"/>
        </w:rPr>
      </w:pPr>
    </w:p>
    <w:p w:rsidR="00F3427C" w:rsidRDefault="00F3427C"/>
    <w:p w:rsidR="00F3427C" w:rsidRDefault="00F3427C"/>
    <w:p w:rsidR="00F3427C" w:rsidRDefault="00F3427C"/>
    <w:p w:rsidR="00F3427C" w:rsidRDefault="00F3427C"/>
    <w:p w:rsidR="00F3427C" w:rsidRDefault="00F3427C"/>
    <w:p w:rsidR="00F3427C" w:rsidRDefault="00F3427C"/>
    <w:p w:rsidR="00F3427C" w:rsidRDefault="00F3427C"/>
    <w:p w:rsidR="00F3427C" w:rsidRDefault="00F3427C"/>
    <w:p w:rsidR="00F3427C" w:rsidRDefault="00F3427C"/>
    <w:p w:rsidR="00F3427C" w:rsidRDefault="00F3427C"/>
    <w:p w:rsidR="00F3427C" w:rsidRDefault="00F3427C"/>
    <w:p w:rsidR="00F3427C" w:rsidRDefault="00F3427C">
      <w:pPr>
        <w:pStyle w:val="Heading2"/>
        <w:rPr>
          <w:sz w:val="24"/>
          <w:szCs w:val="24"/>
        </w:rPr>
      </w:pPr>
    </w:p>
    <w:p w:rsidR="00F3427C" w:rsidRDefault="00000000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Wider strategies for current academic year</w:t>
      </w:r>
    </w:p>
    <w:p w:rsidR="00F3427C" w:rsidRDefault="00F3427C"/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5954"/>
      </w:tblGrid>
      <w:tr w:rsidR="00F3427C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Measure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Activity</w:t>
            </w:r>
          </w:p>
        </w:tc>
      </w:tr>
      <w:tr w:rsidR="00F3427C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27C" w:rsidRDefault="00000000">
            <w:pPr>
              <w:pStyle w:val="TableRow"/>
              <w:ind w:left="0" w:righ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Priority 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</w:pPr>
            <w:r>
              <w:rPr>
                <w:rStyle w:val="PlaceholderText"/>
                <w:color w:val="0D0D0D"/>
              </w:rPr>
              <w:t>Improved attendance rates for disadvantaged students through weekly pastoral attendance briefings, fortnightly PL attendance meetings and continued work of the Attendance Officer.</w:t>
            </w:r>
          </w:p>
          <w:p w:rsidR="00F3427C" w:rsidRDefault="00000000">
            <w:pPr>
              <w:pStyle w:val="TableRow"/>
            </w:pPr>
            <w:r>
              <w:t>Introduce interventions and actions across the college at SLT, PL and tutor level.</w:t>
            </w:r>
          </w:p>
        </w:tc>
      </w:tr>
      <w:tr w:rsidR="00F3427C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27C" w:rsidRDefault="00000000">
            <w:pPr>
              <w:pStyle w:val="TableRow"/>
              <w:ind w:left="0" w:righ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Priority 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</w:pPr>
            <w:r>
              <w:rPr>
                <w:rStyle w:val="PlaceholderText"/>
                <w:color w:val="0D0D0D"/>
              </w:rPr>
              <w:t>In order to improve aspirations and access to E-</w:t>
            </w:r>
            <w:proofErr w:type="spellStart"/>
            <w:r>
              <w:rPr>
                <w:rStyle w:val="PlaceholderText"/>
                <w:color w:val="0D0D0D"/>
              </w:rPr>
              <w:t>Bacc</w:t>
            </w:r>
            <w:proofErr w:type="spellEnd"/>
            <w:r>
              <w:rPr>
                <w:rStyle w:val="PlaceholderText"/>
                <w:color w:val="0D0D0D"/>
              </w:rPr>
              <w:t>:</w:t>
            </w:r>
          </w:p>
          <w:p w:rsidR="00F3427C" w:rsidRDefault="00000000">
            <w:pPr>
              <w:pStyle w:val="TableRow"/>
            </w:pPr>
            <w:r>
              <w:rPr>
                <w:rStyle w:val="PlaceholderText"/>
                <w:color w:val="0D0D0D"/>
              </w:rPr>
              <w:t>Enhanced careers advice and guidance for disadvantaged students via the deployment of Careers Officer with a focus on provision for this group.</w:t>
            </w:r>
          </w:p>
          <w:p w:rsidR="00F3427C" w:rsidRDefault="00000000">
            <w:pPr>
              <w:pStyle w:val="TableRow"/>
            </w:pPr>
            <w:r>
              <w:rPr>
                <w:rStyle w:val="PlaceholderText"/>
                <w:color w:val="0D0D0D"/>
              </w:rPr>
              <w:t>To include; early intervention careers meetings, priority on trips / events, additional bespoke support during the options process.</w:t>
            </w:r>
          </w:p>
        </w:tc>
      </w:tr>
      <w:tr w:rsidR="00F3427C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27C" w:rsidRDefault="00000000">
            <w:pPr>
              <w:pStyle w:val="TableRow"/>
              <w:ind w:left="0" w:righ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Priority 3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</w:pPr>
            <w:r>
              <w:t>Family Support Worker to have a primary focus of working and supporting disadvantaged students and their parents / carers.</w:t>
            </w:r>
          </w:p>
          <w:p w:rsidR="00F3427C" w:rsidRDefault="00000000">
            <w:pPr>
              <w:pStyle w:val="TableRow"/>
            </w:pPr>
            <w:r>
              <w:t>Intensive support in college and a lead in safeguarding and working with outside agencies.</w:t>
            </w:r>
          </w:p>
        </w:tc>
      </w:tr>
      <w:tr w:rsidR="00F3427C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27C" w:rsidRDefault="00000000">
            <w:pPr>
              <w:pStyle w:val="TableRow"/>
              <w:ind w:left="0" w:righ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Priority 4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</w:pPr>
            <w:r>
              <w:t>Deliver wider training and access to data management tools which have been built to allow a sharper focus on target groups such as disadvantaged students and enhanced functionality such as graphing and Subject Progress Indexes.</w:t>
            </w:r>
          </w:p>
        </w:tc>
      </w:tr>
      <w:tr w:rsidR="00F3427C">
        <w:tblPrEx>
          <w:tblCellMar>
            <w:top w:w="0" w:type="dxa"/>
            <w:bottom w:w="0" w:type="dxa"/>
          </w:tblCellMar>
        </w:tblPrEx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27C" w:rsidRDefault="00000000">
            <w:pPr>
              <w:pStyle w:val="TableRow"/>
              <w:ind w:left="0" w:righ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Barriers to learning these priorities address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</w:pPr>
            <w:r>
              <w:rPr>
                <w:rStyle w:val="PlaceholderText"/>
                <w:color w:val="0D0D0D"/>
              </w:rPr>
              <w:t>1. Attendance which is not at the same level as peers.</w:t>
            </w:r>
          </w:p>
          <w:p w:rsidR="00F3427C" w:rsidRDefault="00000000">
            <w:pPr>
              <w:pStyle w:val="TableRow"/>
            </w:pPr>
            <w:r>
              <w:rPr>
                <w:rStyle w:val="PlaceholderText"/>
                <w:color w:val="0D0D0D"/>
              </w:rPr>
              <w:t>2. Lack of aspiration Post 16, Higher Education and into employment.</w:t>
            </w:r>
          </w:p>
          <w:p w:rsidR="00F3427C" w:rsidRDefault="00000000">
            <w:pPr>
              <w:pStyle w:val="TableRow"/>
            </w:pPr>
            <w:r>
              <w:rPr>
                <w:rStyle w:val="PlaceholderText"/>
                <w:color w:val="0D0D0D"/>
              </w:rPr>
              <w:t>3. Significant pastoral issues which can have a serious impact on wellbeing as well as learning and progress.</w:t>
            </w:r>
          </w:p>
        </w:tc>
      </w:tr>
    </w:tbl>
    <w:p w:rsidR="00F3427C" w:rsidRDefault="00F3427C">
      <w:pPr>
        <w:pStyle w:val="Heading2"/>
      </w:pPr>
    </w:p>
    <w:p w:rsidR="00F3427C" w:rsidRDefault="00F3427C"/>
    <w:p w:rsidR="00F3427C" w:rsidRDefault="00F3427C"/>
    <w:p w:rsidR="00F3427C" w:rsidRDefault="00F3427C"/>
    <w:p w:rsidR="00F3427C" w:rsidRDefault="00F3427C"/>
    <w:p w:rsidR="00F3427C" w:rsidRDefault="00F3427C"/>
    <w:p w:rsidR="00F3427C" w:rsidRDefault="00000000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Monitoring and implementation</w:t>
      </w:r>
    </w:p>
    <w:p w:rsidR="00F3427C" w:rsidRDefault="00F3427C"/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3685"/>
        <w:gridCol w:w="3828"/>
      </w:tblGrid>
      <w:tr w:rsidR="00F3427C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Area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  <w:rPr>
                <w:b/>
                <w:szCs w:val="22"/>
              </w:rPr>
            </w:pPr>
            <w:r>
              <w:rPr>
                <w:b/>
                <w:szCs w:val="22"/>
              </w:rPr>
              <w:t>Challenge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  <w:rPr>
                <w:b/>
                <w:szCs w:val="22"/>
              </w:rPr>
            </w:pPr>
            <w:r>
              <w:rPr>
                <w:b/>
                <w:szCs w:val="22"/>
              </w:rPr>
              <w:t>Mitigating action</w:t>
            </w:r>
          </w:p>
        </w:tc>
      </w:tr>
      <w:tr w:rsidR="00F3427C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27C" w:rsidRDefault="00000000">
            <w:pPr>
              <w:pStyle w:val="TableRow"/>
              <w:ind w:left="0" w:righ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Teaching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</w:pPr>
            <w:r>
              <w:rPr>
                <w:rStyle w:val="PlaceholderText"/>
                <w:color w:val="0D0D0D"/>
              </w:rPr>
              <w:t>Ensuring staff have enough time to complete tasks such as class plans.</w:t>
            </w:r>
          </w:p>
          <w:p w:rsidR="00F3427C" w:rsidRDefault="00000000">
            <w:pPr>
              <w:pStyle w:val="TableRow"/>
            </w:pPr>
            <w:r>
              <w:rPr>
                <w:rStyle w:val="PlaceholderText"/>
                <w:color w:val="0D0D0D"/>
              </w:rPr>
              <w:t>Ensuring staff receive adequate training on for example data tools.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</w:pPr>
            <w:r>
              <w:rPr>
                <w:rStyle w:val="PlaceholderText"/>
                <w:color w:val="0D0D0D"/>
              </w:rPr>
              <w:t>Ensure INSET time has a focus on key strategies.</w:t>
            </w:r>
          </w:p>
          <w:p w:rsidR="00F3427C" w:rsidRDefault="00000000">
            <w:pPr>
              <w:pStyle w:val="TableRow"/>
            </w:pPr>
            <w:r>
              <w:rPr>
                <w:rStyle w:val="PlaceholderText"/>
                <w:color w:val="0D0D0D"/>
              </w:rPr>
              <w:t>Ensure Dept meetings build in time to complete tasks.</w:t>
            </w:r>
          </w:p>
          <w:p w:rsidR="00F3427C" w:rsidRDefault="00000000">
            <w:pPr>
              <w:pStyle w:val="TableRow"/>
            </w:pPr>
            <w:r>
              <w:rPr>
                <w:rStyle w:val="PlaceholderText"/>
                <w:color w:val="0D0D0D"/>
              </w:rPr>
              <w:t>Ensure line managers regularly visit strategies during line management meeting and hold colleagues to account.</w:t>
            </w:r>
          </w:p>
          <w:p w:rsidR="00F3427C" w:rsidRDefault="00000000">
            <w:pPr>
              <w:pStyle w:val="TableRow"/>
            </w:pPr>
            <w:r>
              <w:rPr>
                <w:rStyle w:val="PlaceholderText"/>
                <w:color w:val="0D0D0D"/>
              </w:rPr>
              <w:t>Build time into the college day to allow colleagues to meet and receive direction and guidance through briefings in directed time.</w:t>
            </w:r>
          </w:p>
        </w:tc>
      </w:tr>
      <w:tr w:rsidR="00F3427C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27C" w:rsidRDefault="00000000">
            <w:pPr>
              <w:pStyle w:val="TableRow"/>
              <w:ind w:left="0" w:righ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Targeted support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</w:pPr>
            <w:r>
              <w:rPr>
                <w:rStyle w:val="PlaceholderText"/>
                <w:color w:val="0D0D0D"/>
              </w:rPr>
              <w:t>Build capacity for key personnel to undertake their roles with a focus on disadvantaged students.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</w:pPr>
            <w:r>
              <w:rPr>
                <w:rStyle w:val="PlaceholderText"/>
                <w:color w:val="0D0D0D"/>
              </w:rPr>
              <w:t>Ensure job descriptions and key responsibilities reflect the focus of roles, and ensure line managers hold regular review meetings to monitor progress.</w:t>
            </w:r>
          </w:p>
        </w:tc>
      </w:tr>
      <w:tr w:rsidR="00F3427C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427C" w:rsidRDefault="00000000">
            <w:pPr>
              <w:pStyle w:val="TableRow"/>
              <w:ind w:left="0" w:right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Wider strategies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</w:pPr>
            <w:r>
              <w:rPr>
                <w:rStyle w:val="PlaceholderText"/>
                <w:color w:val="0D0D0D"/>
              </w:rPr>
              <w:t>Staff require time and training to be able to analyse attendance figures and undertake some actions to negate the poor attendance figures of PP students in particular.</w:t>
            </w:r>
          </w:p>
          <w:p w:rsidR="00F3427C" w:rsidRDefault="00000000">
            <w:pPr>
              <w:pStyle w:val="TableRow"/>
            </w:pPr>
            <w:r>
              <w:rPr>
                <w:rStyle w:val="PlaceholderText"/>
                <w:color w:val="0D0D0D"/>
              </w:rPr>
              <w:t>Ensuring PP students are able to access key trips and events.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7C" w:rsidRDefault="00000000">
            <w:pPr>
              <w:pStyle w:val="TableRow"/>
            </w:pPr>
            <w:r>
              <w:rPr>
                <w:rStyle w:val="PlaceholderText"/>
                <w:color w:val="0D0D0D"/>
              </w:rPr>
              <w:t>Build in directed time for colleagues to ensure this is completed.</w:t>
            </w:r>
          </w:p>
          <w:p w:rsidR="00F3427C" w:rsidRDefault="00000000">
            <w:pPr>
              <w:pStyle w:val="TableRow"/>
            </w:pPr>
            <w:r>
              <w:rPr>
                <w:rStyle w:val="PlaceholderText"/>
                <w:color w:val="0D0D0D"/>
              </w:rPr>
              <w:t xml:space="preserve">When any trip or visit is presented to the senior </w:t>
            </w:r>
            <w:proofErr w:type="gramStart"/>
            <w:r>
              <w:rPr>
                <w:rStyle w:val="PlaceholderText"/>
                <w:color w:val="0D0D0D"/>
              </w:rPr>
              <w:t>leaders</w:t>
            </w:r>
            <w:proofErr w:type="gramEnd"/>
            <w:r>
              <w:rPr>
                <w:rStyle w:val="PlaceholderText"/>
                <w:color w:val="0D0D0D"/>
              </w:rPr>
              <w:t xml:space="preserve"> diary consultation meeting, engagement and positive discrimination of disadvantaged students is considered and actively promoted.</w:t>
            </w:r>
          </w:p>
        </w:tc>
      </w:tr>
    </w:tbl>
    <w:p w:rsidR="00F3427C" w:rsidRDefault="00F3427C">
      <w:pPr>
        <w:pStyle w:val="Heading2"/>
        <w:rPr>
          <w:sz w:val="24"/>
          <w:szCs w:val="24"/>
        </w:rPr>
      </w:pPr>
    </w:p>
    <w:p w:rsidR="00F3427C" w:rsidRDefault="00F3427C"/>
    <w:p w:rsidR="00F3427C" w:rsidRDefault="00F3427C">
      <w:pPr>
        <w:rPr>
          <w:b/>
          <w:color w:val="104F75"/>
        </w:rPr>
      </w:pPr>
    </w:p>
    <w:sectPr w:rsidR="00F3427C">
      <w:footerReference w:type="default" r:id="rId7"/>
      <w:pgSz w:w="11906" w:h="16838"/>
      <w:pgMar w:top="709" w:right="1276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01F0" w:rsidRDefault="00E901F0">
      <w:pPr>
        <w:spacing w:after="0" w:line="240" w:lineRule="auto"/>
      </w:pPr>
      <w:r>
        <w:separator/>
      </w:r>
    </w:p>
  </w:endnote>
  <w:endnote w:type="continuationSeparator" w:id="0">
    <w:p w:rsidR="00E901F0" w:rsidRDefault="00E9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4D"/>
    <w:family w:val="auto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6BF3" w:rsidRDefault="00000000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01F0" w:rsidRDefault="00E901F0">
      <w:pPr>
        <w:spacing w:after="0" w:line="240" w:lineRule="auto"/>
      </w:pPr>
      <w:r>
        <w:separator/>
      </w:r>
    </w:p>
  </w:footnote>
  <w:footnote w:type="continuationSeparator" w:id="0">
    <w:p w:rsidR="00E901F0" w:rsidRDefault="00E90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341A"/>
    <w:multiLevelType w:val="multilevel"/>
    <w:tmpl w:val="1D80FA80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11619B1"/>
    <w:multiLevelType w:val="multilevel"/>
    <w:tmpl w:val="931C18E4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4DC4DC8"/>
    <w:multiLevelType w:val="multilevel"/>
    <w:tmpl w:val="904C43DA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FE056D3"/>
    <w:multiLevelType w:val="multilevel"/>
    <w:tmpl w:val="2DA465DE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69E17E6"/>
    <w:multiLevelType w:val="multilevel"/>
    <w:tmpl w:val="EBD622AC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" w15:restartNumberingAfterBreak="0">
    <w:nsid w:val="3A8E2248"/>
    <w:multiLevelType w:val="multilevel"/>
    <w:tmpl w:val="96E67A06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13842F1"/>
    <w:multiLevelType w:val="multilevel"/>
    <w:tmpl w:val="993C37CC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6B376DA"/>
    <w:multiLevelType w:val="multilevel"/>
    <w:tmpl w:val="D52C96BE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B3B3E90"/>
    <w:multiLevelType w:val="multilevel"/>
    <w:tmpl w:val="B5BCA108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B504607"/>
    <w:multiLevelType w:val="multilevel"/>
    <w:tmpl w:val="8ABE3F50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03A64C1"/>
    <w:multiLevelType w:val="multilevel"/>
    <w:tmpl w:val="2FD09CEE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5692BD9"/>
    <w:multiLevelType w:val="multilevel"/>
    <w:tmpl w:val="A45856F2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B9638F7"/>
    <w:multiLevelType w:val="multilevel"/>
    <w:tmpl w:val="2968D5EE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F3D4D11"/>
    <w:multiLevelType w:val="multilevel"/>
    <w:tmpl w:val="96084FD8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169211C"/>
    <w:multiLevelType w:val="multilevel"/>
    <w:tmpl w:val="CF40430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77F24D38"/>
    <w:multiLevelType w:val="multilevel"/>
    <w:tmpl w:val="60DA1C00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941046D"/>
    <w:multiLevelType w:val="multilevel"/>
    <w:tmpl w:val="EF343658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AC7737B"/>
    <w:multiLevelType w:val="multilevel"/>
    <w:tmpl w:val="ECE46466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8" w15:restartNumberingAfterBreak="0">
    <w:nsid w:val="7C7A2B00"/>
    <w:multiLevelType w:val="multilevel"/>
    <w:tmpl w:val="BEFEBE42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E211D4F"/>
    <w:multiLevelType w:val="multilevel"/>
    <w:tmpl w:val="49C8ECBE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num w:numId="1" w16cid:durableId="578751344">
    <w:abstractNumId w:val="9"/>
  </w:num>
  <w:num w:numId="2" w16cid:durableId="1132558101">
    <w:abstractNumId w:val="12"/>
  </w:num>
  <w:num w:numId="3" w16cid:durableId="948044669">
    <w:abstractNumId w:val="2"/>
  </w:num>
  <w:num w:numId="4" w16cid:durableId="433862097">
    <w:abstractNumId w:val="16"/>
  </w:num>
  <w:num w:numId="5" w16cid:durableId="1204563340">
    <w:abstractNumId w:val="7"/>
  </w:num>
  <w:num w:numId="6" w16cid:durableId="588075009">
    <w:abstractNumId w:val="1"/>
  </w:num>
  <w:num w:numId="7" w16cid:durableId="891117030">
    <w:abstractNumId w:val="13"/>
  </w:num>
  <w:num w:numId="8" w16cid:durableId="1399280506">
    <w:abstractNumId w:val="15"/>
  </w:num>
  <w:num w:numId="9" w16cid:durableId="1791513083">
    <w:abstractNumId w:val="6"/>
  </w:num>
  <w:num w:numId="10" w16cid:durableId="1648781834">
    <w:abstractNumId w:val="10"/>
  </w:num>
  <w:num w:numId="11" w16cid:durableId="429156412">
    <w:abstractNumId w:val="8"/>
  </w:num>
  <w:num w:numId="12" w16cid:durableId="1089540745">
    <w:abstractNumId w:val="0"/>
  </w:num>
  <w:num w:numId="13" w16cid:durableId="909266459">
    <w:abstractNumId w:val="4"/>
  </w:num>
  <w:num w:numId="14" w16cid:durableId="1218201106">
    <w:abstractNumId w:val="3"/>
  </w:num>
  <w:num w:numId="15" w16cid:durableId="238298630">
    <w:abstractNumId w:val="11"/>
  </w:num>
  <w:num w:numId="16" w16cid:durableId="1337197185">
    <w:abstractNumId w:val="18"/>
  </w:num>
  <w:num w:numId="17" w16cid:durableId="1861777952">
    <w:abstractNumId w:val="5"/>
  </w:num>
  <w:num w:numId="18" w16cid:durableId="618997581">
    <w:abstractNumId w:val="14"/>
  </w:num>
  <w:num w:numId="19" w16cid:durableId="2052725003">
    <w:abstractNumId w:val="19"/>
  </w:num>
  <w:num w:numId="20" w16cid:durableId="4260761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3427C"/>
    <w:rsid w:val="004E375F"/>
    <w:rsid w:val="00E901F0"/>
    <w:rsid w:val="00F3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C6F9BA9-8DF2-D945-B0BD-55271C91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after="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semiHidden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0">
    <w:name w:val="WW_OutlineListStyle_10"/>
    <w:basedOn w:val="NoList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after="0" w:line="240" w:lineRule="auto"/>
    </w:pPr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15"/>
      </w:numPr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paragraph" w:customStyle="1" w:styleId="CopyrightSpacing">
    <w:name w:val="CopyrightSpacing"/>
    <w:basedOn w:val="Normal"/>
    <w:pPr>
      <w:spacing w:before="6000" w:after="120"/>
    </w:pPr>
  </w:style>
  <w:style w:type="paragraph" w:styleId="Title">
    <w:name w:val="Title"/>
    <w:basedOn w:val="Normal"/>
    <w:next w:val="Normal"/>
    <w:uiPriority w:val="10"/>
    <w:qFormat/>
    <w:pPr>
      <w:spacing w:before="240" w:after="0" w:line="240" w:lineRule="auto"/>
    </w:pPr>
    <w:rPr>
      <w:b/>
      <w:color w:val="104F75"/>
      <w:sz w:val="96"/>
      <w:szCs w:val="120"/>
    </w:rPr>
  </w:style>
  <w:style w:type="paragraph" w:styleId="Subtitle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14"/>
      </w:numPr>
    </w:pPr>
  </w:style>
  <w:style w:type="paragraph" w:styleId="ListParagraph">
    <w:name w:val="List Paragraph"/>
    <w:basedOn w:val="Normal"/>
    <w:pPr>
      <w:numPr>
        <w:numId w:val="18"/>
      </w:numPr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paragraph" w:customStyle="1" w:styleId="ColouredBoxHeadline">
    <w:name w:val="Coloured Box Headline"/>
    <w:basedOn w:val="Normal"/>
    <w:pPr>
      <w:spacing w:before="120" w:after="0"/>
    </w:pPr>
    <w:rPr>
      <w:b/>
      <w:bCs/>
      <w:sz w:val="28"/>
      <w:szCs w:val="20"/>
    </w:rPr>
  </w:style>
  <w:style w:type="paragraph" w:styleId="ListBullet5">
    <w:name w:val="List Bullet 5"/>
    <w:basedOn w:val="Normal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13"/>
      </w:numPr>
    </w:p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 w:after="0"/>
    </w:pPr>
  </w:style>
  <w:style w:type="paragraph" w:customStyle="1" w:styleId="Licence">
    <w:name w:val="Licence"/>
    <w:basedOn w:val="Normal"/>
    <w:pPr>
      <w:tabs>
        <w:tab w:val="left" w:pos="1418"/>
      </w:tabs>
      <w:ind w:left="284"/>
    </w:p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paragraph" w:styleId="ListBullet2">
    <w:name w:val="List Bullet 2"/>
    <w:basedOn w:val="Normal"/>
    <w:pPr>
      <w:numPr>
        <w:numId w:val="16"/>
      </w:numPr>
      <w:tabs>
        <w:tab w:val="left" w:pos="-5939"/>
      </w:tabs>
    </w:pPr>
  </w:style>
  <w:style w:type="paragraph" w:customStyle="1" w:styleId="Logos">
    <w:name w:val="Logos"/>
    <w:basedOn w:val="Normal"/>
    <w:pPr>
      <w:pageBreakBefore/>
      <w:widowControl w:val="0"/>
    </w:pPr>
  </w:style>
  <w:style w:type="paragraph" w:styleId="ListBullet3">
    <w:name w:val="List Bullet 3"/>
    <w:basedOn w:val="Normal"/>
    <w:pPr>
      <w:numPr>
        <w:numId w:val="17"/>
      </w:numPr>
    </w:pPr>
  </w:style>
  <w:style w:type="paragraph" w:customStyle="1" w:styleId="DfESOutNumbered">
    <w:name w:val="DfESOutNumbered"/>
    <w:basedOn w:val="Normal"/>
    <w:pPr>
      <w:widowControl w:val="0"/>
      <w:numPr>
        <w:numId w:val="19"/>
      </w:numPr>
      <w:overflowPunct w:val="0"/>
      <w:autoSpaceDE w:val="0"/>
      <w:spacing w:line="240" w:lineRule="auto"/>
    </w:pPr>
    <w:rPr>
      <w:rFonts w:cs="Arial"/>
      <w:color w:val="auto"/>
      <w:sz w:val="22"/>
      <w:szCs w:val="20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20"/>
      </w:numPr>
      <w:overflowPunct w:val="0"/>
      <w:autoSpaceDE w:val="0"/>
      <w:spacing w:line="240" w:lineRule="auto"/>
    </w:pPr>
    <w:rPr>
      <w:color w:val="auto"/>
      <w:szCs w:val="20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paragraph" w:styleId="NoSpacing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character" w:customStyle="1" w:styleId="CopyrightBoxChar">
    <w:name w:val="CopyrightBox Char"/>
    <w:rPr>
      <w:color w:val="0D0D0D"/>
      <w:sz w:val="24"/>
      <w:szCs w:val="24"/>
    </w:rPr>
  </w:style>
  <w:style w:type="character" w:customStyle="1" w:styleId="CopyrightSpacingChar">
    <w:name w:val="CopyrightSpacing Char"/>
    <w:rPr>
      <w:sz w:val="24"/>
      <w:szCs w:val="24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rPr>
      <w:rFonts w:ascii="Calibri" w:hAnsi="Calibri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rPr>
      <w:rFonts w:ascii="Cambria" w:hAnsi="Cambria"/>
      <w:sz w:val="22"/>
      <w:szCs w:val="22"/>
    </w:rPr>
  </w:style>
  <w:style w:type="character" w:customStyle="1" w:styleId="BodyTextChar">
    <w:name w:val="Body Text Char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character" w:customStyle="1" w:styleId="HeaderChar">
    <w:name w:val="Header Char"/>
    <w:basedOn w:val="DefaultParagraphFont"/>
    <w:rPr>
      <w:sz w:val="24"/>
      <w:szCs w:val="24"/>
    </w:rPr>
  </w:style>
  <w:style w:type="character" w:customStyle="1" w:styleId="FooterChar">
    <w:name w:val="Footer Char"/>
    <w:basedOn w:val="DefaultParagraphFont"/>
    <w:rPr>
      <w:sz w:val="24"/>
      <w:szCs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character" w:customStyle="1" w:styleId="RGBValues">
    <w:name w:val="RGB Values"/>
    <w:basedOn w:val="DefaultParagraphFont"/>
    <w:rPr>
      <w:sz w:val="20"/>
    </w:rPr>
  </w:style>
  <w:style w:type="character" w:styleId="CommentReference">
    <w:name w:val="annotation reference"/>
    <w:basedOn w:val="DefaultParagraphFont"/>
  </w:style>
  <w:style w:type="character" w:customStyle="1" w:styleId="CommentTextChar">
    <w:name w:val="Comment Text Char"/>
    <w:basedOn w:val="DefaultParagraphFont"/>
  </w:style>
  <w:style w:type="character" w:customStyle="1" w:styleId="CommentSubjectChar">
    <w:name w:val="Comment Subject Char"/>
    <w:basedOn w:val="CommentTextChar"/>
    <w:rPr>
      <w:b/>
      <w:bCs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character" w:customStyle="1" w:styleId="DfESOutNumbered1Char">
    <w:name w:val="DfESOutNumbered1 Char"/>
    <w:rPr>
      <w:sz w:val="24"/>
      <w:szCs w:val="24"/>
    </w:r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character" w:styleId="PlaceholderText">
    <w:name w:val="Placeholder Text"/>
    <w:basedOn w:val="DefaultParagraphFont"/>
    <w:rPr>
      <w:color w:val="808080"/>
    </w:rPr>
  </w:style>
  <w:style w:type="character" w:customStyle="1" w:styleId="Style1">
    <w:name w:val="Style1"/>
    <w:basedOn w:val="DefaultParagraphFont"/>
    <w:rPr>
      <w:rFonts w:ascii="Arial" w:hAnsi="Arial"/>
      <w:b/>
      <w:sz w:val="24"/>
    </w:rPr>
  </w:style>
  <w:style w:type="character" w:customStyle="1" w:styleId="FootnoteSymbol">
    <w:name w:val="Footnote Symbol"/>
  </w:style>
  <w:style w:type="numbering" w:customStyle="1" w:styleId="WWOutlineListStyle9">
    <w:name w:val="WW_OutlineListStyle_9"/>
    <w:basedOn w:val="NoList"/>
    <w:pPr>
      <w:numPr>
        <w:numId w:val="2"/>
      </w:numPr>
    </w:pPr>
  </w:style>
  <w:style w:type="numbering" w:customStyle="1" w:styleId="WWOutlineListStyle8">
    <w:name w:val="WW_OutlineListStyle_8"/>
    <w:basedOn w:val="NoList"/>
    <w:pPr>
      <w:numPr>
        <w:numId w:val="3"/>
      </w:numPr>
    </w:pPr>
  </w:style>
  <w:style w:type="numbering" w:customStyle="1" w:styleId="WWOutlineListStyle7">
    <w:name w:val="WW_OutlineListStyle_7"/>
    <w:basedOn w:val="NoList"/>
    <w:pPr>
      <w:numPr>
        <w:numId w:val="4"/>
      </w:numPr>
    </w:pPr>
  </w:style>
  <w:style w:type="numbering" w:customStyle="1" w:styleId="WWOutlineListStyle6">
    <w:name w:val="WW_OutlineListStyle_6"/>
    <w:basedOn w:val="NoList"/>
    <w:pPr>
      <w:numPr>
        <w:numId w:val="5"/>
      </w:numPr>
    </w:pPr>
  </w:style>
  <w:style w:type="numbering" w:customStyle="1" w:styleId="WWOutlineListStyle5">
    <w:name w:val="WW_OutlineListStyle_5"/>
    <w:basedOn w:val="NoList"/>
    <w:pPr>
      <w:numPr>
        <w:numId w:val="6"/>
      </w:numPr>
    </w:pPr>
  </w:style>
  <w:style w:type="numbering" w:customStyle="1" w:styleId="WWOutlineListStyle4">
    <w:name w:val="WW_OutlineListStyle_4"/>
    <w:basedOn w:val="NoList"/>
    <w:pPr>
      <w:numPr>
        <w:numId w:val="7"/>
      </w:numPr>
    </w:pPr>
  </w:style>
  <w:style w:type="numbering" w:customStyle="1" w:styleId="WWOutlineListStyle3">
    <w:name w:val="WW_OutlineListStyle_3"/>
    <w:basedOn w:val="NoList"/>
    <w:pPr>
      <w:numPr>
        <w:numId w:val="8"/>
      </w:numPr>
    </w:pPr>
  </w:style>
  <w:style w:type="numbering" w:customStyle="1" w:styleId="WWOutlineListStyle2">
    <w:name w:val="WW_OutlineListStyle_2"/>
    <w:basedOn w:val="NoList"/>
    <w:pPr>
      <w:numPr>
        <w:numId w:val="9"/>
      </w:numPr>
    </w:pPr>
  </w:style>
  <w:style w:type="numbering" w:customStyle="1" w:styleId="WWOutlineListStyle1">
    <w:name w:val="WW_OutlineListStyle_1"/>
    <w:basedOn w:val="NoList"/>
    <w:pPr>
      <w:numPr>
        <w:numId w:val="10"/>
      </w:numPr>
    </w:pPr>
  </w:style>
  <w:style w:type="numbering" w:customStyle="1" w:styleId="WWOutlineListStyle">
    <w:name w:val="WW_OutlineListStyle"/>
    <w:basedOn w:val="NoList"/>
    <w:pPr>
      <w:numPr>
        <w:numId w:val="11"/>
      </w:numPr>
    </w:pPr>
  </w:style>
  <w:style w:type="numbering" w:customStyle="1" w:styleId="Outline">
    <w:name w:val="Outline"/>
    <w:basedOn w:val="NoList"/>
    <w:pPr>
      <w:numPr>
        <w:numId w:val="12"/>
      </w:numPr>
    </w:pPr>
  </w:style>
  <w:style w:type="numbering" w:customStyle="1" w:styleId="LFO3">
    <w:name w:val="LFO3"/>
    <w:basedOn w:val="NoList"/>
    <w:pPr>
      <w:numPr>
        <w:numId w:val="13"/>
      </w:numPr>
    </w:pPr>
  </w:style>
  <w:style w:type="numbering" w:customStyle="1" w:styleId="LFO4">
    <w:name w:val="LFO4"/>
    <w:basedOn w:val="NoList"/>
    <w:pPr>
      <w:numPr>
        <w:numId w:val="14"/>
      </w:numPr>
    </w:pPr>
  </w:style>
  <w:style w:type="numbering" w:customStyle="1" w:styleId="LFO6">
    <w:name w:val="LFO6"/>
    <w:basedOn w:val="NoList"/>
    <w:pPr>
      <w:numPr>
        <w:numId w:val="15"/>
      </w:numPr>
    </w:pPr>
  </w:style>
  <w:style w:type="numbering" w:customStyle="1" w:styleId="LFO9">
    <w:name w:val="LFO9"/>
    <w:basedOn w:val="NoList"/>
    <w:pPr>
      <w:numPr>
        <w:numId w:val="16"/>
      </w:numPr>
    </w:pPr>
  </w:style>
  <w:style w:type="numbering" w:customStyle="1" w:styleId="LFO10">
    <w:name w:val="LFO10"/>
    <w:basedOn w:val="NoList"/>
    <w:pPr>
      <w:numPr>
        <w:numId w:val="17"/>
      </w:numPr>
    </w:pPr>
  </w:style>
  <w:style w:type="numbering" w:customStyle="1" w:styleId="LFO25">
    <w:name w:val="LFO25"/>
    <w:basedOn w:val="NoList"/>
    <w:pPr>
      <w:numPr>
        <w:numId w:val="18"/>
      </w:numPr>
    </w:pPr>
  </w:style>
  <w:style w:type="numbering" w:customStyle="1" w:styleId="LFO28">
    <w:name w:val="LFO28"/>
    <w:basedOn w:val="NoList"/>
    <w:pPr>
      <w:numPr>
        <w:numId w:val="19"/>
      </w:numPr>
    </w:pPr>
  </w:style>
  <w:style w:type="numbering" w:customStyle="1" w:styleId="LFO30">
    <w:name w:val="LFO30"/>
    <w:basedOn w:val="NoList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1048</Words>
  <Characters>5975</Characters>
  <Application>Microsoft Office Word</Application>
  <DocSecurity>0</DocSecurity>
  <Lines>49</Lines>
  <Paragraphs>14</Paragraphs>
  <ScaleCrop>false</ScaleCrop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DfE external document template</dc:title>
  <dc:subject/>
  <dc:creator>Publishing.TEAM@education.gsi.gov.uk</dc:creator>
  <dc:description/>
  <cp:lastModifiedBy>Ian Evans</cp:lastModifiedBy>
  <cp:revision>2</cp:revision>
  <cp:lastPrinted>2020-10-16T08:25:00Z</cp:lastPrinted>
  <dcterms:created xsi:type="dcterms:W3CDTF">2023-09-27T14:57:00Z</dcterms:created>
  <dcterms:modified xsi:type="dcterms:W3CDTF">2023-09-27T14:57:00Z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0x010100AC2E48F3E0389843B40F6CE8D98855D7</vt:lpwstr>
  </property>
  <property fmtid="{D5CDD505-2E9C-101B-9397-08002B2CF9AE}" pid="4" name="IWPFunction">
    <vt:lpwstr/>
  </property>
  <property fmtid="{D5CDD505-2E9C-101B-9397-08002B2CF9AE}" pid="5" name="IWPGroupOOB">
    <vt:lpwstr>Communications Directorate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RightsProtectiveMarking">
    <vt:lpwstr>2;#Official|0884c477-2e62-47ea-b19c-5af6e91124c5</vt:lpwstr>
  </property>
  <property fmtid="{D5CDD505-2E9C-101B-9397-08002B2CF9AE}" pid="9" name="IWPSiteType">
    <vt:lpwstr/>
  </property>
  <property fmtid="{D5CDD505-2E9C-101B-9397-08002B2CF9AE}" pid="10" name="IWPSubject">
    <vt:lpwstr/>
  </property>
  <property fmtid="{D5CDD505-2E9C-101B-9397-08002B2CF9AE}" pid="11" name="_dlc_DocIdItemGuid">
    <vt:lpwstr>f1dd1af3-30bb-446e-af34-5327635f4b16</vt:lpwstr>
  </property>
</Properties>
</file>