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27C" w:rsidRDefault="00000000">
      <w:pPr>
        <w:pStyle w:val="Heading1"/>
        <w:rPr>
          <w:sz w:val="32"/>
          <w:szCs w:val="32"/>
        </w:rPr>
      </w:pPr>
      <w:bookmarkStart w:id="0" w:name="_Toc357771638"/>
      <w:bookmarkStart w:id="1" w:name="_Toc346793416"/>
      <w:bookmarkStart w:id="2" w:name="_Toc328122777"/>
      <w:r>
        <w:rPr>
          <w:sz w:val="32"/>
          <w:szCs w:val="32"/>
        </w:rPr>
        <w:t xml:space="preserve">Pupil premium strategy statement </w:t>
      </w:r>
      <w:r>
        <w:rPr>
          <w:sz w:val="32"/>
          <w:szCs w:val="32"/>
        </w:rPr>
        <w:tab/>
        <w:t>2020-2021</w:t>
      </w:r>
    </w:p>
    <w:p w:rsidR="00F3427C" w:rsidRDefault="00000000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Wyvern College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1344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 xml:space="preserve">158 students 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00000"/>
              </w:rPr>
              <w:t>£167,125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2020-2021, 2021-2022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October 2020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October 2021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Mr Ben Rule – Headteacher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Mr Simon Stocks – Deputy Headteacher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Governor </w:t>
            </w:r>
            <w:proofErr w:type="gramStart"/>
            <w:r>
              <w:rPr>
                <w:sz w:val="22"/>
                <w:szCs w:val="22"/>
              </w:rPr>
              <w:t>lead</w:t>
            </w:r>
            <w:proofErr w:type="gramEnd"/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Mrs Lynda Smith – Chair of trustees</w:t>
            </w:r>
          </w:p>
        </w:tc>
      </w:tr>
    </w:tbl>
    <w:p w:rsidR="00F3427C" w:rsidRDefault="0000000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performance overview for last academic year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8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N/A (-0.44 in 2019, -0.67 in 2018, -0.83 in 2017)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Ebacc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entry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19% for 2020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Attainment 8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39.9 for 2020 (36.5 in 2019, 32.8 in 2018, 31.8 in 2017)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Percentage of Grade 5+ in English and 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30.6% for 2020 (19% in 2019, 17.5% in 2018)</w:t>
            </w:r>
          </w:p>
        </w:tc>
      </w:tr>
    </w:tbl>
    <w:p w:rsidR="00F3427C" w:rsidRDefault="0000000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953"/>
        <w:gridCol w:w="2994"/>
      </w:tblGrid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 date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8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Reduce the gap for PP students V whole college average to less than 0.5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Target -0.25 for PP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September 2021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Attainment 8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Achieve national average attainment (47.5 in 2019) for our PP students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Target 40+ in current academic year.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September 2022</w:t>
            </w:r>
          </w:p>
          <w:p w:rsidR="00F3427C" w:rsidRDefault="00F3427C">
            <w:pPr>
              <w:pStyle w:val="TableRow"/>
            </w:pPr>
          </w:p>
          <w:p w:rsidR="00F3427C" w:rsidRDefault="00F3427C">
            <w:pPr>
              <w:pStyle w:val="TableRow"/>
            </w:pP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(September 2021)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Percentage of Grade 5+ in English and maths</w:t>
            </w:r>
          </w:p>
          <w:p w:rsidR="00F3427C" w:rsidRDefault="00F3427C">
            <w:pPr>
              <w:pStyle w:val="TableRow"/>
            </w:pP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Achieve national average E/M 5+ (43% in 2019) for our PP students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Target 35% in current academic year</w:t>
            </w:r>
          </w:p>
          <w:p w:rsidR="00F3427C" w:rsidRDefault="00F3427C">
            <w:pPr>
              <w:pStyle w:val="TableRow"/>
            </w:pP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lastRenderedPageBreak/>
              <w:t>September 2022</w:t>
            </w:r>
          </w:p>
          <w:p w:rsidR="00F3427C" w:rsidRDefault="00F3427C">
            <w:pPr>
              <w:pStyle w:val="TableRow"/>
            </w:pPr>
          </w:p>
          <w:p w:rsidR="00F3427C" w:rsidRDefault="00F3427C">
            <w:pPr>
              <w:pStyle w:val="TableRow"/>
            </w:pP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(September 2021)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Improve whole college PP attendance rates to 92% (90% in 2019 – 2020, 89% in 2018-2019)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September 2021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 </w:t>
            </w:r>
            <w:proofErr w:type="gramStart"/>
            <w:r>
              <w:rPr>
                <w:sz w:val="22"/>
                <w:szCs w:val="22"/>
              </w:rPr>
              <w:t>FTE's</w:t>
            </w:r>
            <w:proofErr w:type="gramEnd"/>
            <w:r>
              <w:rPr>
                <w:sz w:val="22"/>
                <w:szCs w:val="22"/>
              </w:rPr>
              <w:t xml:space="preserve"> for PP students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t>Reduce PP FTEs from 39 (107 days lost in 2018) by 50%</w:t>
            </w:r>
          </w:p>
          <w:p w:rsidR="00F3427C" w:rsidRDefault="00000000">
            <w:pPr>
              <w:pStyle w:val="TableRow"/>
              <w:rPr>
                <w:b/>
              </w:rPr>
            </w:pPr>
            <w:r>
              <w:rPr>
                <w:b/>
              </w:rPr>
              <w:t>2019-2020 was strong up to March 2020 with only 10 FTEs and 16.5 days lost. However, difficult to compare as not a full year.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t>September 2021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Ebacc</w:t>
            </w:r>
            <w:proofErr w:type="spellEnd"/>
            <w:r>
              <w:rPr>
                <w:sz w:val="22"/>
                <w:szCs w:val="22"/>
              </w:rPr>
              <w:t xml:space="preserve"> entry</w:t>
            </w:r>
          </w:p>
        </w:tc>
        <w:tc>
          <w:tcPr>
            <w:tcW w:w="295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Better the National Average for E-</w:t>
            </w:r>
            <w:proofErr w:type="spellStart"/>
            <w:r>
              <w:rPr>
                <w:rStyle w:val="PlaceholderText"/>
                <w:color w:val="0D0D0D"/>
              </w:rPr>
              <w:t>Bacc</w:t>
            </w:r>
            <w:proofErr w:type="spellEnd"/>
            <w:r>
              <w:rPr>
                <w:rStyle w:val="PlaceholderText"/>
                <w:color w:val="0D0D0D"/>
              </w:rPr>
              <w:t xml:space="preserve"> entry (40% in 2019) and aspire to 50%</w:t>
            </w:r>
          </w:p>
        </w:tc>
        <w:tc>
          <w:tcPr>
            <w:tcW w:w="299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September 2023</w:t>
            </w:r>
          </w:p>
          <w:p w:rsidR="00F3427C" w:rsidRDefault="00F3427C">
            <w:pPr>
              <w:pStyle w:val="TableRow"/>
            </w:pPr>
          </w:p>
        </w:tc>
      </w:tr>
    </w:tbl>
    <w:bookmarkEnd w:id="3"/>
    <w:p w:rsidR="00F3427C" w:rsidRDefault="00000000">
      <w:pPr>
        <w:pStyle w:val="Heading1"/>
        <w:rPr>
          <w:sz w:val="24"/>
        </w:rPr>
      </w:pPr>
      <w:r>
        <w:rPr>
          <w:sz w:val="24"/>
        </w:rPr>
        <w:lastRenderedPageBreak/>
        <w:t>Teaching priorities for current academic year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Embed class plans across the college with a focus on disadvantaged learners in Y10 and Y11 in the first instance.</w:t>
            </w:r>
          </w:p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Deliver adequate training to ensure plans are high quality and consistent across all subject areas and all year groups.</w:t>
            </w:r>
          </w:p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Build in INSET time to allow staff to review plans over the course of the year.</w:t>
            </w:r>
          </w:p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Undertake monitoring through line management meetings and progress meetings.</w:t>
            </w:r>
          </w:p>
          <w:p w:rsidR="00F3427C" w:rsidRDefault="00000000">
            <w:pPr>
              <w:pStyle w:val="TableRow"/>
              <w:ind w:left="0"/>
            </w:pPr>
            <w:r>
              <w:rPr>
                <w:rStyle w:val="PlaceholderText"/>
                <w:color w:val="0D0D0D"/>
              </w:rPr>
              <w:t>Monitor through lesson observation and quality assurance programme.</w:t>
            </w:r>
          </w:p>
          <w:p w:rsidR="00F3427C" w:rsidRDefault="00000000">
            <w:pPr>
              <w:pStyle w:val="TableRow"/>
              <w:ind w:left="0"/>
            </w:pPr>
            <w:r>
              <w:t>Aim to introduce an IT solution / platform to enable colleagues to share strategies being deployed for individuals.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Improve the behaviour of disadvantaged students through the College's 4-point plan for disruption free learning. As a result, reduce FTEs and improve the learning experience.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On-call system to remove students who are disrupting the learning of others to be continued and monitored on a weekly basis.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Utilise an intense inclusion meeting programme for those most at risk of FTE holding meetings with teachers every 3 weeks.</w:t>
            </w:r>
          </w:p>
          <w:p w:rsidR="00F3427C" w:rsidRDefault="00000000">
            <w:pPr>
              <w:pStyle w:val="TableRow"/>
            </w:pPr>
            <w:r>
              <w:t xml:space="preserve">Utilise an Internal Exclusion Room and Restorative Behaviour Programme for students whose behaviour does not meet the </w:t>
            </w:r>
            <w:proofErr w:type="spellStart"/>
            <w:r>
              <w:t>PRIDe</w:t>
            </w:r>
            <w:proofErr w:type="spellEnd"/>
            <w:r>
              <w:t xml:space="preserve"> expectations to avoid FTE.</w:t>
            </w:r>
          </w:p>
          <w:p w:rsidR="00F3427C" w:rsidRDefault="00000000">
            <w:pPr>
              <w:pStyle w:val="TableRow"/>
            </w:pPr>
            <w:r>
              <w:t xml:space="preserve">Refer students at risk of multiple FTE or </w:t>
            </w:r>
            <w:proofErr w:type="spellStart"/>
            <w:r>
              <w:t>PEx</w:t>
            </w:r>
            <w:proofErr w:type="spellEnd"/>
            <w:r>
              <w:t xml:space="preserve"> to more bespoke alternative provision.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High proportion of FTEs for disadvantaged students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Disruption in the classroom affecting the progress and outcomes of disadvantaged students.</w:t>
            </w:r>
          </w:p>
        </w:tc>
      </w:tr>
    </w:tbl>
    <w:p w:rsidR="00F3427C" w:rsidRDefault="00F3427C">
      <w:pPr>
        <w:pStyle w:val="Heading2"/>
        <w:rPr>
          <w:sz w:val="24"/>
          <w:szCs w:val="24"/>
        </w:rPr>
      </w:pPr>
    </w:p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000000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Targeted academic support for current academic year</w:t>
      </w:r>
    </w:p>
    <w:p w:rsidR="00F3427C" w:rsidRDefault="00F3427C"/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t>Introduce a Core Premium option into the options for 2020-2021 targeting those who require additional core subject intervention.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auto"/>
              </w:rPr>
              <w:t>Monitor Y11 PP students to oversee progress, attendance and projected outcomes supporting individuals with 1-1 support specifically around revision. Liaison with parents/carers as appropriate.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auto"/>
              </w:rPr>
              <w:t>All identified students in Y11 to receive revision guide pack and free entry to Saturday School Revision Sessions.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t>Family Support Worker, Pastoral Assistant, Careers Officer, Well-Being Assistant and Attendance officer supporting individual students with a strong bias towards disadvantaged students.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Progress 8 score below the national average and outcomes not as strong as peers.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Ensuring that enhanced pastoral support is provided to maintain strong attendance.</w:t>
            </w:r>
          </w:p>
        </w:tc>
      </w:tr>
    </w:tbl>
    <w:p w:rsidR="00F3427C" w:rsidRDefault="00F3427C">
      <w:pPr>
        <w:pStyle w:val="Heading2"/>
        <w:rPr>
          <w:sz w:val="24"/>
          <w:szCs w:val="24"/>
        </w:rPr>
      </w:pPr>
    </w:p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F3427C">
      <w:pPr>
        <w:pStyle w:val="Heading2"/>
        <w:rPr>
          <w:sz w:val="24"/>
          <w:szCs w:val="24"/>
        </w:rPr>
      </w:pPr>
    </w:p>
    <w:p w:rsidR="00F3427C" w:rsidRDefault="0000000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p w:rsidR="00F3427C" w:rsidRDefault="00F3427C"/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3427C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Improved attendance rates for disadvantaged students through weekly pastoral attendance briefings, fortnightly PL attendance meetings and continued work of the Attendance Officer.</w:t>
            </w:r>
          </w:p>
          <w:p w:rsidR="00F3427C" w:rsidRDefault="00000000">
            <w:pPr>
              <w:pStyle w:val="TableRow"/>
            </w:pPr>
            <w:r>
              <w:t>Introduce interventions and actions across the college at SLT, PL and tutor level.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In order to improve aspirations and access to E-</w:t>
            </w:r>
            <w:proofErr w:type="spellStart"/>
            <w:r>
              <w:rPr>
                <w:rStyle w:val="PlaceholderText"/>
                <w:color w:val="0D0D0D"/>
              </w:rPr>
              <w:t>Bacc</w:t>
            </w:r>
            <w:proofErr w:type="spellEnd"/>
            <w:r>
              <w:rPr>
                <w:rStyle w:val="PlaceholderText"/>
                <w:color w:val="0D0D0D"/>
              </w:rPr>
              <w:t>: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Enhanced careers advice and guidance for disadvantaged students via the deployment of Careers Officer with a focus on provision for this group.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To include; early intervention careers meetings, priority on trips / events, additional bespoke support during the options process.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t>Family Support Worker to have a primary focus of working and supporting disadvantaged students and their parents / carers.</w:t>
            </w:r>
          </w:p>
          <w:p w:rsidR="00F3427C" w:rsidRDefault="00000000">
            <w:pPr>
              <w:pStyle w:val="TableRow"/>
            </w:pPr>
            <w:r>
              <w:t>Intensive support in college and a lead in safeguarding and working with outside agencies.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t>Deliver wider training and access to data management tools which have been built to allow a sharper focus on target groups such as disadvantaged students and enhanced functionality such as graphing and Subject Progress Indexes.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1. Attendance which is not at the same level as peers.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2. Lack of aspiration Post 16, Higher Education and into employment.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3. Significant pastoral issues which can have a serious impact on wellbeing as well as learning and progress.</w:t>
            </w:r>
          </w:p>
        </w:tc>
      </w:tr>
    </w:tbl>
    <w:p w:rsidR="00F3427C" w:rsidRDefault="00F3427C">
      <w:pPr>
        <w:pStyle w:val="Heading2"/>
      </w:pPr>
    </w:p>
    <w:p w:rsidR="00F3427C" w:rsidRDefault="00F3427C"/>
    <w:p w:rsidR="00F3427C" w:rsidRDefault="00F3427C"/>
    <w:p w:rsidR="00F3427C" w:rsidRDefault="00F3427C"/>
    <w:p w:rsidR="00F3427C" w:rsidRDefault="00F3427C"/>
    <w:p w:rsidR="00F3427C" w:rsidRDefault="00F3427C"/>
    <w:p w:rsidR="00F3427C" w:rsidRDefault="0000000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p w:rsidR="00F3427C" w:rsidRDefault="00F3427C"/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F3427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Ensuring staff have enough time to complete tasks such as class plans.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Ensuring staff receive adequate training on for example data tools.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Ensure INSET time has a focus on key strategies.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Ensure Dept meetings build in time to complete tasks.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Ensure line managers regularly visit strategies during line management meeting and hold colleagues to account.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Build time into the college day to allow colleagues to meet and receive direction and guidance through briefings in directed time.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Build capacity for key personnel to undertake their roles with a focus on disadvantaged students.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Ensure job descriptions and key responsibilities reflect the focus of roles, and ensure line managers hold regular review meetings to monitor progress.</w:t>
            </w:r>
          </w:p>
        </w:tc>
      </w:tr>
      <w:tr w:rsidR="00F3427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27C" w:rsidRDefault="00000000">
            <w:pPr>
              <w:pStyle w:val="TableRow"/>
              <w:ind w:left="0" w:righ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Staff require time and training to be able to analyse attendance figures and undertake some actions to negate the poor attendance figures of PP students in particular.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Ensuring PP students are able to access key trips and events.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>Build in directed time for colleagues to ensure this is completed.</w:t>
            </w:r>
          </w:p>
          <w:p w:rsidR="00F3427C" w:rsidRDefault="00000000">
            <w:pPr>
              <w:pStyle w:val="TableRow"/>
            </w:pPr>
            <w:r>
              <w:rPr>
                <w:rStyle w:val="PlaceholderText"/>
                <w:color w:val="0D0D0D"/>
              </w:rPr>
              <w:t xml:space="preserve">When any trip or visit is presented to the senior </w:t>
            </w:r>
            <w:proofErr w:type="gramStart"/>
            <w:r>
              <w:rPr>
                <w:rStyle w:val="PlaceholderText"/>
                <w:color w:val="0D0D0D"/>
              </w:rPr>
              <w:t>leaders</w:t>
            </w:r>
            <w:proofErr w:type="gramEnd"/>
            <w:r>
              <w:rPr>
                <w:rStyle w:val="PlaceholderText"/>
                <w:color w:val="0D0D0D"/>
              </w:rPr>
              <w:t xml:space="preserve"> diary consultation meeting, engagement and positive discrimination of disadvantaged students is considered and actively promoted.</w:t>
            </w:r>
          </w:p>
        </w:tc>
      </w:tr>
    </w:tbl>
    <w:p w:rsidR="00F3427C" w:rsidRDefault="00F3427C">
      <w:pPr>
        <w:pStyle w:val="Heading2"/>
        <w:rPr>
          <w:sz w:val="24"/>
          <w:szCs w:val="24"/>
        </w:rPr>
      </w:pPr>
    </w:p>
    <w:p w:rsidR="00F3427C" w:rsidRDefault="00F3427C"/>
    <w:p w:rsidR="00F3427C" w:rsidRDefault="00F3427C">
      <w:pPr>
        <w:rPr>
          <w:b/>
          <w:color w:val="104F75"/>
        </w:rPr>
      </w:pPr>
    </w:p>
    <w:sectPr w:rsidR="00F3427C">
      <w:footerReference w:type="default" r:id="rId7"/>
      <w:pgSz w:w="11906" w:h="16838"/>
      <w:pgMar w:top="709" w:right="127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1F0" w:rsidRDefault="00E901F0">
      <w:pPr>
        <w:spacing w:after="0" w:line="240" w:lineRule="auto"/>
      </w:pPr>
      <w:r>
        <w:separator/>
      </w:r>
    </w:p>
  </w:endnote>
  <w:endnote w:type="continuationSeparator" w:id="0">
    <w:p w:rsidR="00E901F0" w:rsidRDefault="00E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BF3" w:rsidRDefault="00000000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1F0" w:rsidRDefault="00E901F0">
      <w:pPr>
        <w:spacing w:after="0" w:line="240" w:lineRule="auto"/>
      </w:pPr>
      <w:r>
        <w:separator/>
      </w:r>
    </w:p>
  </w:footnote>
  <w:footnote w:type="continuationSeparator" w:id="0">
    <w:p w:rsidR="00E901F0" w:rsidRDefault="00E9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41A"/>
    <w:multiLevelType w:val="multilevel"/>
    <w:tmpl w:val="1D80FA80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1619B1"/>
    <w:multiLevelType w:val="multilevel"/>
    <w:tmpl w:val="931C18E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DC4DC8"/>
    <w:multiLevelType w:val="multilevel"/>
    <w:tmpl w:val="904C43D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E056D3"/>
    <w:multiLevelType w:val="multilevel"/>
    <w:tmpl w:val="2DA465DE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9E17E6"/>
    <w:multiLevelType w:val="multilevel"/>
    <w:tmpl w:val="EBD622AC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3A8E2248"/>
    <w:multiLevelType w:val="multilevel"/>
    <w:tmpl w:val="96E67A06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3842F1"/>
    <w:multiLevelType w:val="multilevel"/>
    <w:tmpl w:val="993C37C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B376DA"/>
    <w:multiLevelType w:val="multilevel"/>
    <w:tmpl w:val="D52C96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3B3E90"/>
    <w:multiLevelType w:val="multilevel"/>
    <w:tmpl w:val="B5BCA10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504607"/>
    <w:multiLevelType w:val="multilevel"/>
    <w:tmpl w:val="8ABE3F5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03A64C1"/>
    <w:multiLevelType w:val="multilevel"/>
    <w:tmpl w:val="2FD09CE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692BD9"/>
    <w:multiLevelType w:val="multilevel"/>
    <w:tmpl w:val="A45856F2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B9638F7"/>
    <w:multiLevelType w:val="multilevel"/>
    <w:tmpl w:val="2968D5EE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F3D4D11"/>
    <w:multiLevelType w:val="multilevel"/>
    <w:tmpl w:val="96084FD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169211C"/>
    <w:multiLevelType w:val="multilevel"/>
    <w:tmpl w:val="CF40430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F24D38"/>
    <w:multiLevelType w:val="multilevel"/>
    <w:tmpl w:val="60DA1C0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941046D"/>
    <w:multiLevelType w:val="multilevel"/>
    <w:tmpl w:val="EF34365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AC7737B"/>
    <w:multiLevelType w:val="multilevel"/>
    <w:tmpl w:val="ECE46466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8" w15:restartNumberingAfterBreak="0">
    <w:nsid w:val="7C7A2B00"/>
    <w:multiLevelType w:val="multilevel"/>
    <w:tmpl w:val="BEFEBE42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E211D4F"/>
    <w:multiLevelType w:val="multilevel"/>
    <w:tmpl w:val="49C8ECBE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num w:numId="1" w16cid:durableId="578751344">
    <w:abstractNumId w:val="9"/>
  </w:num>
  <w:num w:numId="2" w16cid:durableId="1132558101">
    <w:abstractNumId w:val="12"/>
  </w:num>
  <w:num w:numId="3" w16cid:durableId="948044669">
    <w:abstractNumId w:val="2"/>
  </w:num>
  <w:num w:numId="4" w16cid:durableId="433862097">
    <w:abstractNumId w:val="16"/>
  </w:num>
  <w:num w:numId="5" w16cid:durableId="1204563340">
    <w:abstractNumId w:val="7"/>
  </w:num>
  <w:num w:numId="6" w16cid:durableId="588075009">
    <w:abstractNumId w:val="1"/>
  </w:num>
  <w:num w:numId="7" w16cid:durableId="891117030">
    <w:abstractNumId w:val="13"/>
  </w:num>
  <w:num w:numId="8" w16cid:durableId="1399280506">
    <w:abstractNumId w:val="15"/>
  </w:num>
  <w:num w:numId="9" w16cid:durableId="1791513083">
    <w:abstractNumId w:val="6"/>
  </w:num>
  <w:num w:numId="10" w16cid:durableId="1648781834">
    <w:abstractNumId w:val="10"/>
  </w:num>
  <w:num w:numId="11" w16cid:durableId="429156412">
    <w:abstractNumId w:val="8"/>
  </w:num>
  <w:num w:numId="12" w16cid:durableId="1089540745">
    <w:abstractNumId w:val="0"/>
  </w:num>
  <w:num w:numId="13" w16cid:durableId="909266459">
    <w:abstractNumId w:val="4"/>
  </w:num>
  <w:num w:numId="14" w16cid:durableId="1218201106">
    <w:abstractNumId w:val="3"/>
  </w:num>
  <w:num w:numId="15" w16cid:durableId="238298630">
    <w:abstractNumId w:val="11"/>
  </w:num>
  <w:num w:numId="16" w16cid:durableId="1337197185">
    <w:abstractNumId w:val="18"/>
  </w:num>
  <w:num w:numId="17" w16cid:durableId="1861777952">
    <w:abstractNumId w:val="5"/>
  </w:num>
  <w:num w:numId="18" w16cid:durableId="618997581">
    <w:abstractNumId w:val="14"/>
  </w:num>
  <w:num w:numId="19" w16cid:durableId="2052725003">
    <w:abstractNumId w:val="19"/>
  </w:num>
  <w:num w:numId="20" w16cid:durableId="4260761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427C"/>
    <w:rsid w:val="004E375F"/>
    <w:rsid w:val="00E901F0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6F9BA9-8DF2-D945-B0BD-55271C91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after="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0">
    <w:name w:val="WW_OutlineListStyle_10"/>
    <w:basedOn w:val="NoList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after="0" w:line="240" w:lineRule="auto"/>
    </w:pPr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5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paragraph" w:customStyle="1" w:styleId="CopyrightSpacing">
    <w:name w:val="CopyrightSpacing"/>
    <w:basedOn w:val="Normal"/>
    <w:pPr>
      <w:spacing w:before="6000" w:after="120"/>
    </w:pPr>
  </w:style>
  <w:style w:type="paragraph" w:styleId="Title">
    <w:name w:val="Title"/>
    <w:basedOn w:val="Normal"/>
    <w:next w:val="Normal"/>
    <w:uiPriority w:val="10"/>
    <w:qFormat/>
    <w:pPr>
      <w:spacing w:before="240" w:after="0" w:line="240" w:lineRule="auto"/>
    </w:pPr>
    <w:rPr>
      <w:b/>
      <w:color w:val="104F75"/>
      <w:sz w:val="96"/>
      <w:szCs w:val="120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Paragraph">
    <w:name w:val="List Paragraph"/>
    <w:basedOn w:val="Normal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paragraph" w:customStyle="1" w:styleId="ColouredBoxHeadline">
    <w:name w:val="Coloured Box Headline"/>
    <w:basedOn w:val="Normal"/>
    <w:pPr>
      <w:spacing w:before="120" w:after="0"/>
    </w:pPr>
    <w:rPr>
      <w:b/>
      <w:bCs/>
      <w:sz w:val="28"/>
      <w:szCs w:val="20"/>
    </w:rPr>
  </w:style>
  <w:style w:type="paragraph" w:styleId="ListBullet5">
    <w:name w:val="List Bullet 5"/>
    <w:basedOn w:val="Normal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13"/>
      </w:numPr>
    </w:p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 w:after="0"/>
    </w:p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paragraph" w:styleId="ListBullet2">
    <w:name w:val="List Bullet 2"/>
    <w:basedOn w:val="Normal"/>
    <w:pPr>
      <w:numPr>
        <w:numId w:val="16"/>
      </w:numPr>
      <w:tabs>
        <w:tab w:val="left" w:pos="-5939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paragraph" w:styleId="ListBullet3">
    <w:name w:val="List Bullet 3"/>
    <w:basedOn w:val="Normal"/>
    <w:pPr>
      <w:numPr>
        <w:numId w:val="17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9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20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character" w:customStyle="1" w:styleId="CopyrightBoxChar">
    <w:name w:val="CopyrightBox Char"/>
    <w:rPr>
      <w:color w:val="0D0D0D"/>
      <w:sz w:val="24"/>
      <w:szCs w:val="24"/>
    </w:rPr>
  </w:style>
  <w:style w:type="character" w:customStyle="1" w:styleId="CopyrightSpacingChar">
    <w:name w:val="CopyrightSpacing Char"/>
    <w:rPr>
      <w:sz w:val="24"/>
      <w:szCs w:val="24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character" w:customStyle="1" w:styleId="BodyTextChar">
    <w:name w:val="Body Text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character" w:customStyle="1" w:styleId="RGBValues">
    <w:name w:val="RGB Values"/>
    <w:basedOn w:val="DefaultParagraphFont"/>
    <w:rPr>
      <w:sz w:val="20"/>
    </w:rPr>
  </w:style>
  <w:style w:type="character" w:styleId="CommentReference">
    <w:name w:val="annotation reference"/>
    <w:basedOn w:val="DefaultParagraphFont"/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character" w:customStyle="1" w:styleId="DfESOutNumbered1Char">
    <w:name w:val="DfESOutNumbered1 Char"/>
    <w:rPr>
      <w:sz w:val="24"/>
      <w:szCs w:val="24"/>
    </w:r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character" w:customStyle="1" w:styleId="FootnoteSymbol">
    <w:name w:val="Footnote Symbol"/>
  </w:style>
  <w:style w:type="numbering" w:customStyle="1" w:styleId="WWOutlineListStyle9">
    <w:name w:val="WW_OutlineListStyle_9"/>
    <w:basedOn w:val="NoList"/>
    <w:pPr>
      <w:numPr>
        <w:numId w:val="2"/>
      </w:numPr>
    </w:pPr>
  </w:style>
  <w:style w:type="numbering" w:customStyle="1" w:styleId="WWOutlineListStyle8">
    <w:name w:val="WW_OutlineListStyle_8"/>
    <w:basedOn w:val="NoList"/>
    <w:pPr>
      <w:numPr>
        <w:numId w:val="3"/>
      </w:numPr>
    </w:pPr>
  </w:style>
  <w:style w:type="numbering" w:customStyle="1" w:styleId="WWOutlineListStyle7">
    <w:name w:val="WW_OutlineListStyle_7"/>
    <w:basedOn w:val="NoList"/>
    <w:pPr>
      <w:numPr>
        <w:numId w:val="4"/>
      </w:numPr>
    </w:pPr>
  </w:style>
  <w:style w:type="numbering" w:customStyle="1" w:styleId="WWOutlineListStyle6">
    <w:name w:val="WW_OutlineListStyle_6"/>
    <w:basedOn w:val="NoList"/>
    <w:pPr>
      <w:numPr>
        <w:numId w:val="5"/>
      </w:numPr>
    </w:pPr>
  </w:style>
  <w:style w:type="numbering" w:customStyle="1" w:styleId="WWOutlineListStyle5">
    <w:name w:val="WW_OutlineListStyle_5"/>
    <w:basedOn w:val="NoList"/>
    <w:pPr>
      <w:numPr>
        <w:numId w:val="6"/>
      </w:numPr>
    </w:pPr>
  </w:style>
  <w:style w:type="numbering" w:customStyle="1" w:styleId="WWOutlineListStyle4">
    <w:name w:val="WW_OutlineListStyle_4"/>
    <w:basedOn w:val="NoList"/>
    <w:pPr>
      <w:numPr>
        <w:numId w:val="7"/>
      </w:numPr>
    </w:pPr>
  </w:style>
  <w:style w:type="numbering" w:customStyle="1" w:styleId="WWOutlineListStyle3">
    <w:name w:val="WW_OutlineListStyle_3"/>
    <w:basedOn w:val="NoList"/>
    <w:pPr>
      <w:numPr>
        <w:numId w:val="8"/>
      </w:numPr>
    </w:pPr>
  </w:style>
  <w:style w:type="numbering" w:customStyle="1" w:styleId="WWOutlineListStyle2">
    <w:name w:val="WW_OutlineListStyle_2"/>
    <w:basedOn w:val="NoList"/>
    <w:pPr>
      <w:numPr>
        <w:numId w:val="9"/>
      </w:numPr>
    </w:pPr>
  </w:style>
  <w:style w:type="numbering" w:customStyle="1" w:styleId="WWOutlineListStyle1">
    <w:name w:val="WW_OutlineListStyle_1"/>
    <w:basedOn w:val="NoList"/>
    <w:pPr>
      <w:numPr>
        <w:numId w:val="10"/>
      </w:numPr>
    </w:pPr>
  </w:style>
  <w:style w:type="numbering" w:customStyle="1" w:styleId="WWOutlineListStyle">
    <w:name w:val="WW_OutlineListStyle"/>
    <w:basedOn w:val="NoList"/>
    <w:pPr>
      <w:numPr>
        <w:numId w:val="11"/>
      </w:numPr>
    </w:pPr>
  </w:style>
  <w:style w:type="numbering" w:customStyle="1" w:styleId="Outline">
    <w:name w:val="Outline"/>
    <w:basedOn w:val="NoList"/>
    <w:pPr>
      <w:numPr>
        <w:numId w:val="12"/>
      </w:numPr>
    </w:pPr>
  </w:style>
  <w:style w:type="numbering" w:customStyle="1" w:styleId="LFO3">
    <w:name w:val="LFO3"/>
    <w:basedOn w:val="NoList"/>
    <w:pPr>
      <w:numPr>
        <w:numId w:val="13"/>
      </w:numPr>
    </w:pPr>
  </w:style>
  <w:style w:type="numbering" w:customStyle="1" w:styleId="LFO4">
    <w:name w:val="LFO4"/>
    <w:basedOn w:val="NoList"/>
    <w:pPr>
      <w:numPr>
        <w:numId w:val="14"/>
      </w:numPr>
    </w:pPr>
  </w:style>
  <w:style w:type="numbering" w:customStyle="1" w:styleId="LFO6">
    <w:name w:val="LFO6"/>
    <w:basedOn w:val="NoList"/>
    <w:pPr>
      <w:numPr>
        <w:numId w:val="15"/>
      </w:numPr>
    </w:pPr>
  </w:style>
  <w:style w:type="numbering" w:customStyle="1" w:styleId="LFO9">
    <w:name w:val="LFO9"/>
    <w:basedOn w:val="NoList"/>
    <w:pPr>
      <w:numPr>
        <w:numId w:val="16"/>
      </w:numPr>
    </w:pPr>
  </w:style>
  <w:style w:type="numbering" w:customStyle="1" w:styleId="LFO10">
    <w:name w:val="LFO10"/>
    <w:basedOn w:val="NoList"/>
    <w:pPr>
      <w:numPr>
        <w:numId w:val="17"/>
      </w:numPr>
    </w:pPr>
  </w:style>
  <w:style w:type="numbering" w:customStyle="1" w:styleId="LFO25">
    <w:name w:val="LFO25"/>
    <w:basedOn w:val="NoList"/>
    <w:pPr>
      <w:numPr>
        <w:numId w:val="18"/>
      </w:numPr>
    </w:pPr>
  </w:style>
  <w:style w:type="numbering" w:customStyle="1" w:styleId="LFO28">
    <w:name w:val="LFO28"/>
    <w:basedOn w:val="NoList"/>
    <w:pPr>
      <w:numPr>
        <w:numId w:val="19"/>
      </w:numPr>
    </w:pPr>
  </w:style>
  <w:style w:type="numbering" w:customStyle="1" w:styleId="LFO30">
    <w:name w:val="LFO30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Ian Evans</cp:lastModifiedBy>
  <cp:revision>2</cp:revision>
  <cp:lastPrinted>2020-10-16T08:25:00Z</cp:lastPrinted>
  <dcterms:created xsi:type="dcterms:W3CDTF">2023-09-27T14:57:00Z</dcterms:created>
  <dcterms:modified xsi:type="dcterms:W3CDTF">2023-09-27T14:57:00Z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Function">
    <vt:lpwstr/>
  </property>
  <property fmtid="{D5CDD505-2E9C-101B-9397-08002B2CF9AE}" pid="5" name="IWPGroupOOB">
    <vt:lpwstr>Communications Directorate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IWPSiteType">
    <vt:lpwstr/>
  </property>
  <property fmtid="{D5CDD505-2E9C-101B-9397-08002B2CF9AE}" pid="10" name="IWPSubject">
    <vt:lpwstr/>
  </property>
  <property fmtid="{D5CDD505-2E9C-101B-9397-08002B2CF9AE}" pid="11" name="_dlc_DocIdItemGuid">
    <vt:lpwstr>f1dd1af3-30bb-446e-af34-5327635f4b16</vt:lpwstr>
  </property>
</Properties>
</file>